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61B" w:rsidRDefault="00847BD1" w:rsidP="0015661B">
      <w:pPr>
        <w:spacing w:line="276" w:lineRule="auto"/>
        <w:jc w:val="center"/>
        <w:rPr>
          <w:rFonts w:ascii="ＭＳ ゴシック" w:eastAsia="ＭＳ ゴシック" w:hAnsi="ＭＳ ゴシック"/>
        </w:rPr>
      </w:pPr>
      <w:r w:rsidRPr="00847BD1">
        <w:rPr>
          <w:rFonts w:ascii="ＭＳ Ｐゴシック" w:eastAsia="ＭＳ Ｐゴシック" w:hAnsi="ＭＳ Ｐゴシック" w:cs="Times New Roman" w:hint="eastAsia"/>
          <w:noProof/>
          <w:sz w:val="28"/>
          <w:szCs w:val="22"/>
        </w:rPr>
        <mc:AlternateContent>
          <mc:Choice Requires="wps">
            <w:drawing>
              <wp:anchor distT="0" distB="0" distL="114300" distR="114300" simplePos="0" relativeHeight="251659264" behindDoc="0" locked="0" layoutInCell="1" allowOverlap="1" wp14:anchorId="25D6AE29" wp14:editId="37E42EBD">
                <wp:simplePos x="0" y="0"/>
                <wp:positionH relativeFrom="margin">
                  <wp:posOffset>4714875</wp:posOffset>
                </wp:positionH>
                <wp:positionV relativeFrom="paragraph">
                  <wp:posOffset>-357505</wp:posOffset>
                </wp:positionV>
                <wp:extent cx="968721" cy="316872"/>
                <wp:effectExtent l="0" t="0" r="22225" b="26035"/>
                <wp:wrapNone/>
                <wp:docPr id="1" name="正方形/長方形 1"/>
                <wp:cNvGraphicFramePr/>
                <a:graphic xmlns:a="http://schemas.openxmlformats.org/drawingml/2006/main">
                  <a:graphicData uri="http://schemas.microsoft.com/office/word/2010/wordprocessingShape">
                    <wps:wsp>
                      <wps:cNvSpPr/>
                      <wps:spPr>
                        <a:xfrm>
                          <a:off x="0" y="0"/>
                          <a:ext cx="968721" cy="316872"/>
                        </a:xfrm>
                        <a:prstGeom prst="rect">
                          <a:avLst/>
                        </a:prstGeom>
                        <a:noFill/>
                        <a:ln w="12700" cap="flat" cmpd="sng" algn="ctr">
                          <a:solidFill>
                            <a:sysClr val="windowText" lastClr="000000"/>
                          </a:solidFill>
                          <a:prstDash val="solid"/>
                          <a:miter lim="800000"/>
                        </a:ln>
                        <a:effectLst/>
                      </wps:spPr>
                      <wps:txbx>
                        <w:txbxContent>
                          <w:p w:rsidR="00847BD1" w:rsidRPr="00404BD9" w:rsidRDefault="00847BD1" w:rsidP="00847BD1">
                            <w:pPr>
                              <w:jc w:val="center"/>
                              <w:rPr>
                                <w:rFonts w:ascii="ＭＳ ゴシック" w:eastAsia="ＭＳ ゴシック" w:hAnsi="ＭＳ ゴシック"/>
                              </w:rPr>
                            </w:pPr>
                            <w:r w:rsidRPr="00404BD9">
                              <w:rPr>
                                <w:rFonts w:ascii="ＭＳ ゴシック" w:eastAsia="ＭＳ ゴシック" w:hAnsi="ＭＳ ゴシック" w:hint="eastAsia"/>
                                <w:color w:val="000000"/>
                              </w:rPr>
                              <w:t>資料</w:t>
                            </w:r>
                            <w:r>
                              <w:rPr>
                                <w:rFonts w:ascii="ＭＳ ゴシック" w:eastAsia="ＭＳ ゴシック" w:hAnsi="ＭＳ ゴシック" w:hint="eastAsia"/>
                                <w:color w:val="000000"/>
                              </w:rPr>
                              <w:t>２－１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D6AE29" id="正方形/長方形 1" o:spid="_x0000_s1026" style="position:absolute;left:0;text-align:left;margin-left:371.25pt;margin-top:-28.15pt;width:76.3pt;height:24.9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" filled="f" strokecolor="windowText" strokeweight="1pt">
                <v:textbox>
                  <w:txbxContent>
                    <w:p w:rsidR="00847BD1" w:rsidRPr="00404BD9" w:rsidRDefault="00847BD1" w:rsidP="00847BD1">
                      <w:pPr>
                        <w:jc w:val="center"/>
                        <w:rPr>
                          <w:rFonts w:ascii="ＭＳ ゴシック" w:eastAsia="ＭＳ ゴシック" w:hAnsi="ＭＳ ゴシック"/>
                        </w:rPr>
                      </w:pPr>
                      <w:r w:rsidRPr="00404BD9">
                        <w:rPr>
                          <w:rFonts w:ascii="ＭＳ ゴシック" w:eastAsia="ＭＳ ゴシック" w:hAnsi="ＭＳ ゴシック" w:hint="eastAsia"/>
                          <w:color w:val="000000"/>
                        </w:rPr>
                        <w:t>資料</w:t>
                      </w:r>
                      <w:r>
                        <w:rPr>
                          <w:rFonts w:ascii="ＭＳ ゴシック" w:eastAsia="ＭＳ ゴシック" w:hAnsi="ＭＳ ゴシック" w:hint="eastAsia"/>
                          <w:color w:val="000000"/>
                        </w:rPr>
                        <w:t>２－１</w:t>
                      </w:r>
                      <w:bookmarkStart w:id="1" w:name="_GoBack"/>
                      <w:bookmarkEnd w:id="1"/>
                    </w:p>
                  </w:txbxContent>
                </v:textbox>
                <w10:wrap anchorx="margin"/>
              </v:rect>
            </w:pict>
          </mc:Fallback>
        </mc:AlternateContent>
      </w:r>
      <w:r w:rsidR="004D3E31">
        <w:rPr>
          <w:rFonts w:ascii="ＭＳ ゴシック" w:eastAsia="ＭＳ ゴシック" w:hAnsi="ＭＳ ゴシック" w:hint="eastAsia"/>
        </w:rPr>
        <w:t>コンビナート事業所の高圧ガス事故等に関する事例分析</w:t>
      </w:r>
    </w:p>
    <w:p w:rsidR="004D3E31" w:rsidRPr="004D3E31" w:rsidRDefault="004D3E31" w:rsidP="0015661B">
      <w:pPr>
        <w:spacing w:line="276" w:lineRule="auto"/>
        <w:jc w:val="center"/>
        <w:rPr>
          <w:rFonts w:ascii="ＭＳ ゴシック" w:eastAsia="ＭＳ ゴシック" w:hAnsi="ＭＳ ゴシック"/>
        </w:rPr>
      </w:pPr>
      <w:r>
        <w:rPr>
          <w:rFonts w:ascii="ＭＳ ゴシック" w:eastAsia="ＭＳ ゴシック" w:hAnsi="ＭＳ ゴシック" w:hint="eastAsia"/>
        </w:rPr>
        <w:t>―2020年度 神奈川県高圧ガス保安協会への委託事業―</w:t>
      </w:r>
    </w:p>
    <w:p w:rsidR="009E66F1" w:rsidRPr="0015661B" w:rsidRDefault="009E66F1" w:rsidP="009E66F1">
      <w:pPr>
        <w:spacing w:line="200" w:lineRule="exact"/>
      </w:pPr>
    </w:p>
    <w:p w:rsidR="00A23415" w:rsidRDefault="004D5DE2" w:rsidP="009F1A2F">
      <w:pPr>
        <w:rPr>
          <w:rFonts w:ascii="ＭＳ ゴシック" w:eastAsia="ＭＳ ゴシック" w:hAnsi="ＭＳ ゴシック"/>
        </w:rPr>
      </w:pPr>
      <w:r>
        <w:rPr>
          <w:rFonts w:ascii="ＭＳ ゴシック" w:eastAsia="ＭＳ ゴシック" w:hAnsi="ＭＳ ゴシック" w:hint="eastAsia"/>
        </w:rPr>
        <w:t>１</w:t>
      </w:r>
      <w:r w:rsidR="0021347C" w:rsidRPr="00D67328">
        <w:rPr>
          <w:rFonts w:ascii="ＭＳ ゴシック" w:eastAsia="ＭＳ ゴシック" w:hAnsi="ＭＳ ゴシック" w:hint="eastAsia"/>
        </w:rPr>
        <w:t xml:space="preserve">　</w:t>
      </w:r>
      <w:r w:rsidR="00FC3382">
        <w:rPr>
          <w:rFonts w:ascii="ＭＳ ゴシック" w:eastAsia="ＭＳ ゴシック" w:hAnsi="ＭＳ ゴシック" w:hint="eastAsia"/>
        </w:rPr>
        <w:t>調査概要</w:t>
      </w:r>
    </w:p>
    <w:p w:rsidR="0015661B" w:rsidRDefault="008348BB" w:rsidP="0015661B">
      <w:pPr>
        <w:spacing w:line="276" w:lineRule="auto"/>
      </w:pPr>
      <w:r>
        <w:rPr>
          <w:rFonts w:ascii="ＭＳ ゴシック" w:eastAsia="ＭＳ ゴシック" w:hAnsi="ＭＳ ゴシック" w:hint="eastAsia"/>
        </w:rPr>
        <w:t>（１）</w:t>
      </w:r>
      <w:r w:rsidR="0015661B">
        <w:rPr>
          <w:rFonts w:ascii="ＭＳ ゴシック" w:eastAsia="ＭＳ ゴシック" w:hAnsi="ＭＳ ゴシック" w:hint="eastAsia"/>
        </w:rPr>
        <w:t>背景と調査の目的</w:t>
      </w:r>
    </w:p>
    <w:p w:rsidR="0015661B" w:rsidRDefault="0015661B" w:rsidP="0015661B">
      <w:pPr>
        <w:spacing w:line="276" w:lineRule="auto"/>
        <w:ind w:leftChars="100" w:left="240" w:firstLineChars="100" w:firstLine="240"/>
      </w:pPr>
      <w:r>
        <w:rPr>
          <w:rFonts w:hint="eastAsia"/>
        </w:rPr>
        <w:t>2</w:t>
      </w:r>
      <w:r>
        <w:t>019</w:t>
      </w:r>
      <w:r>
        <w:rPr>
          <w:rFonts w:hint="eastAsia"/>
        </w:rPr>
        <w:t>年中の本県コンビナート地域内の高圧ガス事故及び異常現象件数は、それぞれ2</w:t>
      </w:r>
      <w:r>
        <w:t>3</w:t>
      </w:r>
      <w:r>
        <w:rPr>
          <w:rFonts w:hint="eastAsia"/>
        </w:rPr>
        <w:t>件・7</w:t>
      </w:r>
      <w:r>
        <w:t>0</w:t>
      </w:r>
      <w:r>
        <w:rPr>
          <w:rFonts w:hint="eastAsia"/>
        </w:rPr>
        <w:t>件（過去最多件数）と高止まりの状態にある。</w:t>
      </w:r>
    </w:p>
    <w:p w:rsidR="0015661B" w:rsidRDefault="0015661B" w:rsidP="0015661B">
      <w:pPr>
        <w:spacing w:line="276" w:lineRule="auto"/>
        <w:ind w:leftChars="100" w:left="240" w:firstLineChars="100" w:firstLine="240"/>
      </w:pPr>
      <w:r>
        <w:rPr>
          <w:rFonts w:hint="eastAsia"/>
        </w:rPr>
        <w:t>そこで、</w:t>
      </w:r>
      <w:r w:rsidRPr="006976A0">
        <w:rPr>
          <w:rFonts w:hint="eastAsia"/>
        </w:rPr>
        <w:t>県内で発生した高圧ガスや危険物の漏洩事故等のうち、</w:t>
      </w:r>
      <w:r w:rsidRPr="00DA349C">
        <w:rPr>
          <w:rFonts w:hint="eastAsia"/>
          <w:u w:val="single"/>
        </w:rPr>
        <w:t>石油コンビナート等災害防止法第２条第６号の特定事業所で発生した異常現象に該当するもの（以下「高圧ガス事故等」という。）について、</w:t>
      </w:r>
      <w:r w:rsidRPr="006976A0">
        <w:rPr>
          <w:rFonts w:hint="eastAsia"/>
        </w:rPr>
        <w:t>事例の整理・分析等を行い、その結果を県内のコンビナート事業所に</w:t>
      </w:r>
      <w:r>
        <w:rPr>
          <w:rFonts w:hint="eastAsia"/>
        </w:rPr>
        <w:t>水平展開することで</w:t>
      </w:r>
      <w:r w:rsidRPr="006976A0">
        <w:rPr>
          <w:rFonts w:hint="eastAsia"/>
        </w:rPr>
        <w:t>、</w:t>
      </w:r>
      <w:r>
        <w:rPr>
          <w:rFonts w:hint="eastAsia"/>
        </w:rPr>
        <w:t>事故件数の減少及び</w:t>
      </w:r>
      <w:r w:rsidRPr="006976A0">
        <w:rPr>
          <w:rFonts w:hint="eastAsia"/>
        </w:rPr>
        <w:t>大規模事故の未然防止を図ることを目的とする。</w:t>
      </w:r>
    </w:p>
    <w:p w:rsidR="0015661B" w:rsidRDefault="0015661B" w:rsidP="0015661B">
      <w:pPr>
        <w:spacing w:line="276" w:lineRule="auto"/>
        <w:ind w:firstLineChars="800" w:firstLine="1920"/>
        <w:rPr>
          <w:rFonts w:ascii="ＭＳ ゴシック" w:eastAsia="ＭＳ ゴシック" w:hAnsi="ＭＳ ゴシック"/>
        </w:rPr>
      </w:pPr>
      <w:r>
        <w:rPr>
          <w:rFonts w:ascii="ＭＳ ゴシック" w:eastAsia="ＭＳ ゴシック" w:hAnsi="ＭＳ ゴシック" w:hint="eastAsia"/>
        </w:rPr>
        <w:t>※参考（近年の事故・異常現象件数）</w:t>
      </w:r>
    </w:p>
    <w:tbl>
      <w:tblPr>
        <w:tblW w:w="0" w:type="auto"/>
        <w:tblInd w:w="2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701"/>
        <w:gridCol w:w="1701"/>
      </w:tblGrid>
      <w:tr w:rsidR="0015661B" w:rsidRPr="00596C10" w:rsidTr="00990F25">
        <w:tc>
          <w:tcPr>
            <w:tcW w:w="1559" w:type="dxa"/>
            <w:shd w:val="clear" w:color="auto" w:fill="auto"/>
          </w:tcPr>
          <w:p w:rsidR="0015661B" w:rsidRPr="00596C10" w:rsidRDefault="0015661B" w:rsidP="00990F25">
            <w:pPr>
              <w:spacing w:line="276" w:lineRule="auto"/>
              <w:jc w:val="center"/>
            </w:pPr>
            <w:r w:rsidRPr="00596C10">
              <w:rPr>
                <w:rFonts w:hint="eastAsia"/>
              </w:rPr>
              <w:t>年／件数</w:t>
            </w:r>
          </w:p>
        </w:tc>
        <w:tc>
          <w:tcPr>
            <w:tcW w:w="1701" w:type="dxa"/>
            <w:shd w:val="clear" w:color="auto" w:fill="auto"/>
          </w:tcPr>
          <w:p w:rsidR="0015661B" w:rsidRPr="00596C10" w:rsidRDefault="0015661B" w:rsidP="00990F25">
            <w:pPr>
              <w:spacing w:line="276" w:lineRule="auto"/>
              <w:jc w:val="center"/>
            </w:pPr>
            <w:r w:rsidRPr="00596C10">
              <w:rPr>
                <w:rFonts w:hint="eastAsia"/>
              </w:rPr>
              <w:t>高圧ガス事故</w:t>
            </w:r>
          </w:p>
        </w:tc>
        <w:tc>
          <w:tcPr>
            <w:tcW w:w="1701" w:type="dxa"/>
            <w:shd w:val="clear" w:color="auto" w:fill="auto"/>
          </w:tcPr>
          <w:p w:rsidR="0015661B" w:rsidRPr="00596C10" w:rsidRDefault="0015661B" w:rsidP="00990F25">
            <w:pPr>
              <w:spacing w:line="276" w:lineRule="auto"/>
              <w:jc w:val="center"/>
            </w:pPr>
            <w:r w:rsidRPr="00596C10">
              <w:rPr>
                <w:rFonts w:hint="eastAsia"/>
              </w:rPr>
              <w:t>異常現象</w:t>
            </w:r>
          </w:p>
        </w:tc>
      </w:tr>
      <w:tr w:rsidR="0015661B" w:rsidRPr="00596C10" w:rsidTr="00990F25">
        <w:tc>
          <w:tcPr>
            <w:tcW w:w="1559" w:type="dxa"/>
            <w:shd w:val="clear" w:color="auto" w:fill="auto"/>
            <w:vAlign w:val="center"/>
          </w:tcPr>
          <w:p w:rsidR="0015661B" w:rsidRPr="00596C10" w:rsidRDefault="0015661B" w:rsidP="00990F25">
            <w:pPr>
              <w:spacing w:line="276" w:lineRule="auto"/>
              <w:jc w:val="center"/>
            </w:pPr>
            <w:r>
              <w:rPr>
                <w:rFonts w:hint="eastAsia"/>
              </w:rPr>
              <w:t>2</w:t>
            </w:r>
            <w:r>
              <w:t>019</w:t>
            </w:r>
            <w:r>
              <w:rPr>
                <w:rFonts w:hint="eastAsia"/>
              </w:rPr>
              <w:t>年</w:t>
            </w:r>
          </w:p>
        </w:tc>
        <w:tc>
          <w:tcPr>
            <w:tcW w:w="1701" w:type="dxa"/>
            <w:shd w:val="clear" w:color="auto" w:fill="auto"/>
            <w:vAlign w:val="center"/>
          </w:tcPr>
          <w:p w:rsidR="0015661B" w:rsidRPr="00596C10" w:rsidRDefault="0015661B" w:rsidP="00990F25">
            <w:pPr>
              <w:spacing w:line="276" w:lineRule="auto"/>
              <w:jc w:val="center"/>
            </w:pPr>
            <w:r w:rsidRPr="00596C10">
              <w:rPr>
                <w:rFonts w:hint="eastAsia"/>
              </w:rPr>
              <w:t>2</w:t>
            </w:r>
            <w:r>
              <w:t>3</w:t>
            </w:r>
          </w:p>
        </w:tc>
        <w:tc>
          <w:tcPr>
            <w:tcW w:w="1701" w:type="dxa"/>
            <w:shd w:val="clear" w:color="auto" w:fill="auto"/>
            <w:vAlign w:val="center"/>
          </w:tcPr>
          <w:p w:rsidR="0015661B" w:rsidRPr="00596C10" w:rsidRDefault="0015661B" w:rsidP="00990F25">
            <w:pPr>
              <w:jc w:val="center"/>
            </w:pPr>
            <w:r>
              <w:rPr>
                <w:rFonts w:hint="eastAsia"/>
              </w:rPr>
              <w:t>70</w:t>
            </w:r>
          </w:p>
          <w:p w:rsidR="0015661B" w:rsidRPr="00596C10" w:rsidRDefault="0015661B" w:rsidP="00990F25">
            <w:pPr>
              <w:jc w:val="center"/>
            </w:pPr>
            <w:r w:rsidRPr="00596C10">
              <w:rPr>
                <w:rFonts w:hint="eastAsia"/>
                <w:sz w:val="18"/>
              </w:rPr>
              <w:t>（過去最多）</w:t>
            </w:r>
          </w:p>
        </w:tc>
      </w:tr>
      <w:tr w:rsidR="0015661B" w:rsidRPr="00596C10" w:rsidTr="00990F25">
        <w:tc>
          <w:tcPr>
            <w:tcW w:w="1559" w:type="dxa"/>
            <w:shd w:val="clear" w:color="auto" w:fill="auto"/>
          </w:tcPr>
          <w:p w:rsidR="0015661B" w:rsidRPr="00596C10" w:rsidRDefault="0015661B" w:rsidP="00990F25">
            <w:pPr>
              <w:spacing w:line="276" w:lineRule="auto"/>
              <w:jc w:val="center"/>
            </w:pPr>
            <w:r>
              <w:rPr>
                <w:rFonts w:hint="eastAsia"/>
              </w:rPr>
              <w:t>2018</w:t>
            </w:r>
            <w:r w:rsidRPr="00596C10">
              <w:rPr>
                <w:rFonts w:hint="eastAsia"/>
              </w:rPr>
              <w:t>年</w:t>
            </w:r>
          </w:p>
        </w:tc>
        <w:tc>
          <w:tcPr>
            <w:tcW w:w="1701" w:type="dxa"/>
            <w:shd w:val="clear" w:color="auto" w:fill="auto"/>
          </w:tcPr>
          <w:p w:rsidR="0015661B" w:rsidRPr="00596C10" w:rsidRDefault="0015661B" w:rsidP="00990F25">
            <w:pPr>
              <w:spacing w:line="276" w:lineRule="auto"/>
              <w:jc w:val="center"/>
            </w:pPr>
            <w:r w:rsidRPr="00596C10">
              <w:rPr>
                <w:rFonts w:hint="eastAsia"/>
              </w:rPr>
              <w:t>22</w:t>
            </w:r>
          </w:p>
        </w:tc>
        <w:tc>
          <w:tcPr>
            <w:tcW w:w="1701" w:type="dxa"/>
            <w:shd w:val="clear" w:color="auto" w:fill="auto"/>
          </w:tcPr>
          <w:p w:rsidR="0015661B" w:rsidRPr="00596C10" w:rsidRDefault="0015661B" w:rsidP="00990F25">
            <w:pPr>
              <w:spacing w:line="276" w:lineRule="auto"/>
              <w:jc w:val="center"/>
            </w:pPr>
            <w:r w:rsidRPr="00596C10">
              <w:rPr>
                <w:rFonts w:hint="eastAsia"/>
              </w:rPr>
              <w:t>58</w:t>
            </w:r>
          </w:p>
        </w:tc>
      </w:tr>
      <w:tr w:rsidR="0015661B" w:rsidRPr="00596C10" w:rsidTr="00990F25">
        <w:tc>
          <w:tcPr>
            <w:tcW w:w="1559" w:type="dxa"/>
            <w:shd w:val="clear" w:color="auto" w:fill="auto"/>
          </w:tcPr>
          <w:p w:rsidR="0015661B" w:rsidRPr="00596C10" w:rsidRDefault="0015661B" w:rsidP="00990F25">
            <w:pPr>
              <w:spacing w:line="276" w:lineRule="auto"/>
              <w:jc w:val="center"/>
            </w:pPr>
            <w:r>
              <w:rPr>
                <w:rFonts w:hint="eastAsia"/>
              </w:rPr>
              <w:t>2017</w:t>
            </w:r>
            <w:r w:rsidRPr="00596C10">
              <w:rPr>
                <w:rFonts w:hint="eastAsia"/>
              </w:rPr>
              <w:t>年</w:t>
            </w:r>
          </w:p>
        </w:tc>
        <w:tc>
          <w:tcPr>
            <w:tcW w:w="1701" w:type="dxa"/>
            <w:shd w:val="clear" w:color="auto" w:fill="auto"/>
          </w:tcPr>
          <w:p w:rsidR="0015661B" w:rsidRPr="00596C10" w:rsidRDefault="0015661B" w:rsidP="00990F25">
            <w:pPr>
              <w:spacing w:line="276" w:lineRule="auto"/>
              <w:jc w:val="center"/>
            </w:pPr>
            <w:r w:rsidRPr="00596C10">
              <w:rPr>
                <w:rFonts w:hint="eastAsia"/>
              </w:rPr>
              <w:t>10</w:t>
            </w:r>
          </w:p>
        </w:tc>
        <w:tc>
          <w:tcPr>
            <w:tcW w:w="1701" w:type="dxa"/>
            <w:shd w:val="clear" w:color="auto" w:fill="auto"/>
          </w:tcPr>
          <w:p w:rsidR="0015661B" w:rsidRPr="00596C10" w:rsidRDefault="0015661B" w:rsidP="00990F25">
            <w:pPr>
              <w:spacing w:line="276" w:lineRule="auto"/>
              <w:jc w:val="center"/>
            </w:pPr>
            <w:r w:rsidRPr="00596C10">
              <w:rPr>
                <w:rFonts w:hint="eastAsia"/>
              </w:rPr>
              <w:t>42</w:t>
            </w:r>
          </w:p>
        </w:tc>
      </w:tr>
    </w:tbl>
    <w:p w:rsidR="00C0647D" w:rsidRPr="00861C81" w:rsidRDefault="0098439E" w:rsidP="0015661B">
      <w:pPr>
        <w:rPr>
          <w:rFonts w:asciiTheme="minorEastAsia" w:eastAsiaTheme="minorEastAsia" w:hAnsiTheme="minorEastAsia"/>
          <w:color w:val="000000" w:themeColor="text1"/>
          <w:sz w:val="20"/>
          <w:szCs w:val="20"/>
        </w:rPr>
      </w:pPr>
      <w:r>
        <w:rPr>
          <w:rFonts w:asciiTheme="majorEastAsia" w:eastAsiaTheme="majorEastAsia" w:hAnsiTheme="majorEastAsia" w:hint="eastAsia"/>
          <w:color w:val="000000" w:themeColor="text1"/>
        </w:rPr>
        <w:t>（</w:t>
      </w:r>
      <w:r w:rsidR="00C0647D">
        <w:rPr>
          <w:rFonts w:asciiTheme="majorEastAsia" w:eastAsiaTheme="majorEastAsia" w:hAnsiTheme="majorEastAsia" w:hint="eastAsia"/>
          <w:color w:val="000000" w:themeColor="text1"/>
        </w:rPr>
        <w:t>２</w:t>
      </w:r>
      <w:r>
        <w:rPr>
          <w:rFonts w:asciiTheme="majorEastAsia" w:eastAsiaTheme="majorEastAsia" w:hAnsiTheme="majorEastAsia" w:hint="eastAsia"/>
          <w:color w:val="000000" w:themeColor="text1"/>
        </w:rPr>
        <w:t>）</w:t>
      </w:r>
      <w:r w:rsidR="0015661B">
        <w:rPr>
          <w:rFonts w:asciiTheme="majorEastAsia" w:eastAsiaTheme="majorEastAsia" w:hAnsiTheme="majorEastAsia" w:hint="eastAsia"/>
          <w:color w:val="000000" w:themeColor="text1"/>
        </w:rPr>
        <w:t>実施内容</w:t>
      </w:r>
    </w:p>
    <w:p w:rsidR="00913C5E" w:rsidRDefault="0015661B" w:rsidP="0015661B">
      <w:pPr>
        <w:spacing w:line="276" w:lineRule="auto"/>
        <w:ind w:leftChars="200" w:left="480" w:firstLineChars="100" w:firstLine="240"/>
      </w:pPr>
      <w:r>
        <w:rPr>
          <w:rFonts w:hint="eastAsia"/>
        </w:rPr>
        <w:t>石災法第26条に基づく災害・応急措置報告（2</w:t>
      </w:r>
      <w:r>
        <w:t>015</w:t>
      </w:r>
      <w:r>
        <w:rPr>
          <w:rFonts w:hint="eastAsia"/>
        </w:rPr>
        <w:t>年～2019年）及び異常現象事例一覧表を基に、発生原因別に分類し、整理する。</w:t>
      </w:r>
    </w:p>
    <w:p w:rsidR="008F1C3C" w:rsidRPr="0015661B" w:rsidRDefault="008F1C3C" w:rsidP="0015661B">
      <w:pPr>
        <w:spacing w:line="276" w:lineRule="auto"/>
        <w:ind w:leftChars="200" w:left="480" w:firstLineChars="100" w:firstLine="240"/>
      </w:pPr>
      <w:r>
        <w:rPr>
          <w:rFonts w:hint="eastAsia"/>
        </w:rPr>
        <w:t>また、平成27年度に、2010年～2014年の異常現象について同様の調査を実施していたため、前回調査結果（2010年～2014年）との傾向比較を行った。</w:t>
      </w:r>
      <w:bookmarkStart w:id="0" w:name="_GoBack"/>
      <w:bookmarkEnd w:id="0"/>
    </w:p>
    <w:p w:rsidR="0015661B" w:rsidRPr="0015661B" w:rsidRDefault="0015661B" w:rsidP="00913C5E">
      <w:pPr>
        <w:rPr>
          <w:rFonts w:ascii="ＭＳ ゴシック" w:eastAsia="ＭＳ ゴシック" w:hAnsi="ＭＳ ゴシック"/>
        </w:rPr>
      </w:pPr>
    </w:p>
    <w:p w:rsidR="002350B2" w:rsidRDefault="002350B2" w:rsidP="00913C5E">
      <w:pPr>
        <w:rPr>
          <w:rFonts w:ascii="ＭＳ ゴシック" w:eastAsia="ＭＳ ゴシック" w:hAnsi="ＭＳ ゴシック"/>
        </w:rPr>
      </w:pPr>
      <w:r>
        <w:rPr>
          <w:rFonts w:ascii="ＭＳ ゴシック" w:eastAsia="ＭＳ ゴシック" w:hAnsi="ＭＳ ゴシック" w:hint="eastAsia"/>
        </w:rPr>
        <w:t>２</w:t>
      </w:r>
      <w:r w:rsidRPr="00D67328">
        <w:rPr>
          <w:rFonts w:ascii="ＭＳ ゴシック" w:eastAsia="ＭＳ ゴシック" w:hAnsi="ＭＳ ゴシック" w:hint="eastAsia"/>
        </w:rPr>
        <w:t xml:space="preserve">　</w:t>
      </w:r>
      <w:r>
        <w:rPr>
          <w:rFonts w:ascii="ＭＳ ゴシック" w:eastAsia="ＭＳ ゴシック" w:hAnsi="ＭＳ ゴシック" w:hint="eastAsia"/>
        </w:rPr>
        <w:t>調査結果</w:t>
      </w:r>
    </w:p>
    <w:p w:rsidR="00CD3072" w:rsidRDefault="00CD3072" w:rsidP="00CD3072">
      <w:pPr>
        <w:pStyle w:val="ab"/>
        <w:numPr>
          <w:ilvl w:val="0"/>
          <w:numId w:val="5"/>
        </w:numPr>
        <w:ind w:leftChars="0"/>
        <w:rPr>
          <w:rFonts w:asciiTheme="majorEastAsia" w:eastAsiaTheme="majorEastAsia" w:hAnsiTheme="majorEastAsia"/>
        </w:rPr>
      </w:pPr>
      <w:r w:rsidRPr="00CD3072">
        <w:rPr>
          <w:rFonts w:asciiTheme="majorEastAsia" w:eastAsiaTheme="majorEastAsia" w:hAnsiTheme="majorEastAsia" w:hint="eastAsia"/>
        </w:rPr>
        <w:t>全体</w:t>
      </w:r>
    </w:p>
    <w:p w:rsidR="00CD3072" w:rsidRPr="00045D91" w:rsidRDefault="00CD3072" w:rsidP="00CD3072">
      <w:pPr>
        <w:ind w:leftChars="200" w:left="480" w:firstLineChars="100" w:firstLine="240"/>
        <w:rPr>
          <w:rFonts w:asciiTheme="minorEastAsia" w:eastAsiaTheme="minorEastAsia" w:hAnsiTheme="minorEastAsia"/>
        </w:rPr>
      </w:pPr>
      <w:r w:rsidRPr="00045D91">
        <w:rPr>
          <w:rFonts w:asciiTheme="minorEastAsia" w:eastAsiaTheme="minorEastAsia" w:hAnsiTheme="minorEastAsia" w:hint="eastAsia"/>
        </w:rPr>
        <w:t>前回調査期間（2010～2014年）と今回調査期間（2015～2019年）を通して見ると、</w:t>
      </w:r>
      <w:bookmarkStart w:id="1" w:name="_Hlk65512425"/>
      <w:r w:rsidRPr="00045D91">
        <w:rPr>
          <w:rFonts w:asciiTheme="minorEastAsia" w:eastAsiaTheme="minorEastAsia" w:hAnsiTheme="minorEastAsia" w:hint="eastAsia"/>
        </w:rPr>
        <w:t>事故発生件数</w:t>
      </w:r>
      <w:bookmarkEnd w:id="1"/>
      <w:r w:rsidRPr="00045D91">
        <w:rPr>
          <w:rFonts w:asciiTheme="minorEastAsia" w:eastAsiaTheme="minorEastAsia" w:hAnsiTheme="minorEastAsia" w:hint="eastAsia"/>
        </w:rPr>
        <w:t>は2018年と2019年で大幅に増加している。</w:t>
      </w:r>
    </w:p>
    <w:p w:rsidR="00CD3072" w:rsidRPr="00CD3072" w:rsidRDefault="00CD3072" w:rsidP="00CD3072">
      <w:pPr>
        <w:pStyle w:val="ab"/>
        <w:numPr>
          <w:ilvl w:val="0"/>
          <w:numId w:val="5"/>
        </w:numPr>
        <w:ind w:leftChars="0"/>
        <w:rPr>
          <w:rFonts w:asciiTheme="majorEastAsia" w:eastAsiaTheme="majorEastAsia" w:hAnsiTheme="majorEastAsia"/>
        </w:rPr>
      </w:pPr>
      <w:r w:rsidRPr="00CD3072">
        <w:rPr>
          <w:rFonts w:asciiTheme="majorEastAsia" w:eastAsiaTheme="majorEastAsia" w:hAnsiTheme="majorEastAsia" w:hint="eastAsia"/>
        </w:rPr>
        <w:t>発生原因別</w:t>
      </w:r>
    </w:p>
    <w:p w:rsidR="00CD3072" w:rsidRPr="00045D91" w:rsidRDefault="00CD3072" w:rsidP="00CD3072">
      <w:pPr>
        <w:ind w:leftChars="200" w:left="480" w:firstLineChars="100" w:firstLine="240"/>
        <w:rPr>
          <w:rFonts w:asciiTheme="minorEastAsia" w:eastAsiaTheme="minorEastAsia" w:hAnsiTheme="minorEastAsia"/>
        </w:rPr>
      </w:pPr>
      <w:r w:rsidRPr="00045D91">
        <w:rPr>
          <w:rFonts w:asciiTheme="minorEastAsia" w:eastAsiaTheme="minorEastAsia" w:hAnsiTheme="minorEastAsia" w:hint="eastAsia"/>
        </w:rPr>
        <w:t>前回調査期間（2010～2014年）から一貫して設備関係の「劣化」が最多であり、次いで運転管理関係の「認知・確認のミス」の順となっている。</w:t>
      </w:r>
      <w:r w:rsidR="00036CC0" w:rsidRPr="00045D91">
        <w:rPr>
          <w:rFonts w:asciiTheme="minorEastAsia" w:eastAsiaTheme="minorEastAsia" w:hAnsiTheme="minorEastAsia" w:hint="eastAsia"/>
        </w:rPr>
        <w:t>（図１）</w:t>
      </w:r>
    </w:p>
    <w:p w:rsidR="00CD3072" w:rsidRDefault="00CD3072" w:rsidP="00CD3072">
      <w:pPr>
        <w:pStyle w:val="ab"/>
        <w:numPr>
          <w:ilvl w:val="0"/>
          <w:numId w:val="5"/>
        </w:numPr>
        <w:ind w:leftChars="0"/>
        <w:rPr>
          <w:rFonts w:asciiTheme="majorEastAsia" w:eastAsiaTheme="majorEastAsia" w:hAnsiTheme="majorEastAsia"/>
        </w:rPr>
      </w:pPr>
      <w:r w:rsidRPr="00CD3072">
        <w:rPr>
          <w:rFonts w:asciiTheme="majorEastAsia" w:eastAsiaTheme="majorEastAsia" w:hAnsiTheme="majorEastAsia" w:hint="eastAsia"/>
        </w:rPr>
        <w:t>事故発生場所</w:t>
      </w:r>
    </w:p>
    <w:p w:rsidR="00036CC0" w:rsidRPr="00045D91" w:rsidRDefault="00CD3072" w:rsidP="00036CC0">
      <w:pPr>
        <w:ind w:leftChars="200" w:left="480" w:firstLineChars="100" w:firstLine="240"/>
        <w:rPr>
          <w:rFonts w:asciiTheme="minorEastAsia" w:eastAsiaTheme="minorEastAsia" w:hAnsiTheme="minorEastAsia"/>
        </w:rPr>
      </w:pPr>
      <w:r w:rsidRPr="00045D91">
        <w:rPr>
          <w:rFonts w:asciiTheme="minorEastAsia" w:eastAsiaTheme="minorEastAsia" w:hAnsiTheme="minorEastAsia" w:hint="eastAsia"/>
        </w:rPr>
        <w:t>前回調査期間（2010～2014年）と同様に「配管系」と「塔槽類」で全体の６割前後を占めており、前回調査以降でトラブル低減に向けた対策に工夫や改善が必要な状況と推察する。</w:t>
      </w:r>
      <w:r w:rsidR="00036CC0" w:rsidRPr="00045D91">
        <w:rPr>
          <w:rFonts w:asciiTheme="minorEastAsia" w:eastAsiaTheme="minorEastAsia" w:hAnsiTheme="minorEastAsia" w:hint="eastAsia"/>
        </w:rPr>
        <w:t>（図２）</w:t>
      </w:r>
    </w:p>
    <w:p w:rsidR="00036CC0" w:rsidRDefault="00036CC0">
      <w:pPr>
        <w:widowControl/>
        <w:rPr>
          <w:rFonts w:asciiTheme="majorEastAsia" w:eastAsiaTheme="majorEastAsia" w:hAnsiTheme="majorEastAsia"/>
        </w:rPr>
      </w:pPr>
      <w:r>
        <w:rPr>
          <w:rFonts w:asciiTheme="majorEastAsia" w:eastAsiaTheme="majorEastAsia" w:hAnsiTheme="majorEastAsia"/>
        </w:rPr>
        <w:br w:type="page"/>
      </w:r>
    </w:p>
    <w:p w:rsidR="00CD3072" w:rsidRPr="00CD3072" w:rsidRDefault="00CD3072" w:rsidP="00CD3072">
      <w:pPr>
        <w:pStyle w:val="ab"/>
        <w:numPr>
          <w:ilvl w:val="0"/>
          <w:numId w:val="5"/>
        </w:numPr>
        <w:ind w:leftChars="0"/>
        <w:rPr>
          <w:rFonts w:asciiTheme="majorEastAsia" w:eastAsiaTheme="majorEastAsia" w:hAnsiTheme="majorEastAsia"/>
        </w:rPr>
      </w:pPr>
      <w:r w:rsidRPr="00CD3072">
        <w:rPr>
          <w:rFonts w:asciiTheme="majorEastAsia" w:eastAsiaTheme="majorEastAsia" w:hAnsiTheme="majorEastAsia" w:hint="eastAsia"/>
        </w:rPr>
        <w:lastRenderedPageBreak/>
        <w:t>事故発生時の運転状況</w:t>
      </w:r>
    </w:p>
    <w:p w:rsidR="00CD3072" w:rsidRPr="00045D91" w:rsidRDefault="00CD3072" w:rsidP="00CD3072">
      <w:pPr>
        <w:ind w:leftChars="200" w:left="480" w:firstLineChars="100" w:firstLine="240"/>
        <w:rPr>
          <w:rFonts w:asciiTheme="minorEastAsia" w:eastAsiaTheme="minorEastAsia" w:hAnsiTheme="minorEastAsia"/>
        </w:rPr>
      </w:pPr>
      <w:r w:rsidRPr="00045D91">
        <w:rPr>
          <w:rFonts w:asciiTheme="minorEastAsia" w:eastAsiaTheme="minorEastAsia" w:hAnsiTheme="minorEastAsia" w:hint="eastAsia"/>
        </w:rPr>
        <w:t>件数としては定常運転時が最大となるが、運転時間当たりで評価すると、運転時間の短い非定常運転時（特にスタートアップ操作時）の方が、事故の発生頻度は非常に高くなっている。</w:t>
      </w:r>
      <w:r w:rsidR="00036CC0" w:rsidRPr="00045D91">
        <w:rPr>
          <w:rFonts w:asciiTheme="minorEastAsia" w:eastAsiaTheme="minorEastAsia" w:hAnsiTheme="minorEastAsia" w:hint="eastAsia"/>
        </w:rPr>
        <w:t>（表１、図３）</w:t>
      </w:r>
    </w:p>
    <w:p w:rsidR="00CD3072" w:rsidRPr="00045D91" w:rsidRDefault="00CD3072" w:rsidP="00CD3072">
      <w:pPr>
        <w:ind w:leftChars="300" w:left="960" w:hangingChars="100" w:hanging="240"/>
        <w:rPr>
          <w:rFonts w:asciiTheme="minorEastAsia" w:eastAsiaTheme="minorEastAsia" w:hAnsiTheme="minorEastAsia"/>
        </w:rPr>
      </w:pPr>
      <w:r w:rsidRPr="00045D91">
        <w:rPr>
          <w:rFonts w:asciiTheme="minorEastAsia" w:eastAsiaTheme="minorEastAsia" w:hAnsiTheme="minorEastAsia" w:hint="eastAsia"/>
        </w:rPr>
        <w:t>※運転状況の時間あたりの件数でイメージする（例えばシャットダウン操作・スタートアップ操作の運転時間を１週、定常運転の運転時間を40週と仮定した場合）と、非定常運転時（特にスタートアップ操作時）の事故の発生頻度が、定常運転時より顕著に高くなる。</w:t>
      </w:r>
    </w:p>
    <w:p w:rsidR="00CD3072" w:rsidRDefault="00CD3072" w:rsidP="00CD3072">
      <w:pPr>
        <w:ind w:firstLineChars="100" w:firstLine="240"/>
      </w:pPr>
    </w:p>
    <w:p w:rsidR="00036CC0" w:rsidRDefault="00036CC0" w:rsidP="00036CC0">
      <w:pPr>
        <w:ind w:firstLineChars="100" w:firstLine="240"/>
        <w:jc w:val="center"/>
      </w:pPr>
      <w:r w:rsidRPr="006A76CA">
        <w:rPr>
          <w:noProof/>
        </w:rPr>
        <w:drawing>
          <wp:inline distT="0" distB="0" distL="0" distR="0" wp14:anchorId="3CDAB3AC" wp14:editId="2D2BA5D4">
            <wp:extent cx="5400040" cy="3752850"/>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3752850"/>
                    </a:xfrm>
                    <a:prstGeom prst="rect">
                      <a:avLst/>
                    </a:prstGeom>
                    <a:noFill/>
                    <a:ln>
                      <a:noFill/>
                    </a:ln>
                  </pic:spPr>
                </pic:pic>
              </a:graphicData>
            </a:graphic>
          </wp:inline>
        </w:drawing>
      </w:r>
    </w:p>
    <w:p w:rsidR="00036CC0" w:rsidRDefault="00036CC0" w:rsidP="00036CC0">
      <w:pPr>
        <w:ind w:firstLineChars="100" w:firstLine="240"/>
        <w:jc w:val="center"/>
      </w:pPr>
      <w:r>
        <w:rPr>
          <w:rFonts w:hint="eastAsia"/>
        </w:rPr>
        <w:t>図１　発生原因別件数</w:t>
      </w:r>
    </w:p>
    <w:p w:rsidR="00036CC0" w:rsidRDefault="00036CC0" w:rsidP="00CD3072">
      <w:pPr>
        <w:ind w:firstLineChars="100" w:firstLine="240"/>
      </w:pPr>
    </w:p>
    <w:p w:rsidR="00036CC0" w:rsidRDefault="00036CC0" w:rsidP="00036CC0">
      <w:pPr>
        <w:ind w:firstLineChars="100" w:firstLine="240"/>
        <w:jc w:val="center"/>
      </w:pPr>
      <w:r w:rsidRPr="00D11DC7">
        <w:rPr>
          <w:noProof/>
        </w:rPr>
        <w:drawing>
          <wp:inline distT="0" distB="0" distL="0" distR="0" wp14:anchorId="5E33143D" wp14:editId="689C5AF3">
            <wp:extent cx="4810125" cy="2600325"/>
            <wp:effectExtent l="0" t="0" r="9525" b="9525"/>
            <wp:docPr id="102" name="図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10125" cy="2600325"/>
                    </a:xfrm>
                    <a:prstGeom prst="rect">
                      <a:avLst/>
                    </a:prstGeom>
                    <a:noFill/>
                    <a:ln>
                      <a:noFill/>
                    </a:ln>
                  </pic:spPr>
                </pic:pic>
              </a:graphicData>
            </a:graphic>
          </wp:inline>
        </w:drawing>
      </w:r>
    </w:p>
    <w:p w:rsidR="00036CC0" w:rsidRDefault="00036CC0" w:rsidP="00036CC0">
      <w:pPr>
        <w:ind w:firstLineChars="100" w:firstLine="240"/>
        <w:jc w:val="center"/>
      </w:pPr>
      <w:r>
        <w:rPr>
          <w:rFonts w:hint="eastAsia"/>
        </w:rPr>
        <w:t>図２　発生場所別件数</w:t>
      </w:r>
    </w:p>
    <w:p w:rsidR="00036CC0" w:rsidRDefault="00036CC0" w:rsidP="00036CC0">
      <w:pPr>
        <w:ind w:firstLineChars="100" w:firstLine="240"/>
        <w:jc w:val="center"/>
      </w:pPr>
      <w:r>
        <w:rPr>
          <w:rFonts w:hint="eastAsia"/>
        </w:rPr>
        <w:lastRenderedPageBreak/>
        <w:t>表１　運転状況別件数</w:t>
      </w:r>
    </w:p>
    <w:p w:rsidR="00036CC0" w:rsidRDefault="00036CC0" w:rsidP="00036CC0">
      <w:pPr>
        <w:ind w:firstLineChars="100" w:firstLine="240"/>
        <w:jc w:val="center"/>
      </w:pPr>
      <w:r w:rsidRPr="00B833BE">
        <w:rPr>
          <w:noProof/>
        </w:rPr>
        <w:drawing>
          <wp:inline distT="0" distB="0" distL="0" distR="0" wp14:anchorId="250ED920" wp14:editId="45AC5693">
            <wp:extent cx="3867150" cy="1600200"/>
            <wp:effectExtent l="0" t="0" r="0" b="0"/>
            <wp:docPr id="119" name="図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7150" cy="1600200"/>
                    </a:xfrm>
                    <a:prstGeom prst="rect">
                      <a:avLst/>
                    </a:prstGeom>
                    <a:noFill/>
                    <a:ln>
                      <a:noFill/>
                    </a:ln>
                  </pic:spPr>
                </pic:pic>
              </a:graphicData>
            </a:graphic>
          </wp:inline>
        </w:drawing>
      </w:r>
    </w:p>
    <w:p w:rsidR="00036CC0" w:rsidRDefault="00036CC0" w:rsidP="00036CC0">
      <w:pPr>
        <w:ind w:firstLineChars="100" w:firstLine="240"/>
      </w:pPr>
    </w:p>
    <w:p w:rsidR="00036CC0" w:rsidRDefault="00036CC0" w:rsidP="00036CC0">
      <w:pPr>
        <w:ind w:firstLineChars="100" w:firstLine="240"/>
        <w:jc w:val="center"/>
      </w:pPr>
      <w:r w:rsidRPr="00B833BE">
        <w:rPr>
          <w:rFonts w:hint="eastAsia"/>
          <w:noProof/>
        </w:rPr>
        <w:drawing>
          <wp:inline distT="0" distB="0" distL="0" distR="0" wp14:anchorId="4A8386F3" wp14:editId="32DCF0D8">
            <wp:extent cx="4810125" cy="2438400"/>
            <wp:effectExtent l="0" t="0" r="9525" b="0"/>
            <wp:docPr id="120" name="図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10125" cy="2438400"/>
                    </a:xfrm>
                    <a:prstGeom prst="rect">
                      <a:avLst/>
                    </a:prstGeom>
                    <a:noFill/>
                    <a:ln>
                      <a:noFill/>
                    </a:ln>
                  </pic:spPr>
                </pic:pic>
              </a:graphicData>
            </a:graphic>
          </wp:inline>
        </w:drawing>
      </w:r>
    </w:p>
    <w:p w:rsidR="00036CC0" w:rsidRDefault="00036CC0" w:rsidP="00036CC0">
      <w:pPr>
        <w:ind w:firstLineChars="100" w:firstLine="240"/>
        <w:jc w:val="center"/>
      </w:pPr>
      <w:r>
        <w:rPr>
          <w:rFonts w:hint="eastAsia"/>
        </w:rPr>
        <w:t>図３　運転状況別件数</w:t>
      </w:r>
    </w:p>
    <w:p w:rsidR="00036CC0" w:rsidRPr="00CD3072" w:rsidRDefault="00036CC0" w:rsidP="00CD3072">
      <w:pPr>
        <w:ind w:firstLineChars="100" w:firstLine="240"/>
      </w:pPr>
    </w:p>
    <w:p w:rsidR="002350B2" w:rsidRPr="00D67328" w:rsidRDefault="002350B2" w:rsidP="002350B2">
      <w:pPr>
        <w:rPr>
          <w:rFonts w:ascii="ＭＳ ゴシック" w:eastAsia="ＭＳ ゴシック" w:hAnsi="ＭＳ ゴシック"/>
        </w:rPr>
      </w:pPr>
      <w:r>
        <w:rPr>
          <w:rFonts w:ascii="ＭＳ ゴシック" w:eastAsia="ＭＳ ゴシック" w:hAnsi="ＭＳ ゴシック" w:hint="eastAsia"/>
        </w:rPr>
        <w:t>３</w:t>
      </w:r>
      <w:r w:rsidRPr="00D67328">
        <w:rPr>
          <w:rFonts w:ascii="ＭＳ ゴシック" w:eastAsia="ＭＳ ゴシック" w:hAnsi="ＭＳ ゴシック" w:hint="eastAsia"/>
        </w:rPr>
        <w:t xml:space="preserve">　</w:t>
      </w:r>
      <w:r w:rsidR="007A52C6">
        <w:rPr>
          <w:rFonts w:ascii="ＭＳ ゴシック" w:eastAsia="ＭＳ ゴシック" w:hAnsi="ＭＳ ゴシック" w:hint="eastAsia"/>
        </w:rPr>
        <w:t>今後の対応</w:t>
      </w:r>
    </w:p>
    <w:p w:rsidR="00CD3072" w:rsidRPr="00045D91" w:rsidRDefault="00CD3072" w:rsidP="00CD3072">
      <w:pPr>
        <w:ind w:leftChars="100" w:left="240" w:firstLineChars="100" w:firstLine="240"/>
        <w:rPr>
          <w:rFonts w:asciiTheme="minorEastAsia" w:eastAsiaTheme="minorEastAsia" w:hAnsiTheme="minorEastAsia"/>
        </w:rPr>
      </w:pPr>
      <w:r w:rsidRPr="00045D91">
        <w:rPr>
          <w:rFonts w:asciiTheme="minorEastAsia" w:eastAsiaTheme="minorEastAsia" w:hAnsiTheme="minorEastAsia" w:hint="eastAsia"/>
        </w:rPr>
        <w:t>事故発生件数低減のための課題は、配管系および塔槽類の管理であり、特に劣化に対する対策や、認知・確認ミスの防止が挙げられる。また、運転時間当たりの事故発生頻度を考慮すると、スタートアップ・シャットダウン操作などの非定常作業の改善も課題である。</w:t>
      </w:r>
    </w:p>
    <w:p w:rsidR="00CD3072" w:rsidRPr="00045D91" w:rsidRDefault="00CD3072" w:rsidP="00CD3072">
      <w:pPr>
        <w:ind w:leftChars="100" w:left="240" w:firstLineChars="100" w:firstLine="240"/>
        <w:rPr>
          <w:rFonts w:asciiTheme="minorEastAsia" w:eastAsiaTheme="minorEastAsia" w:hAnsiTheme="minorEastAsia"/>
        </w:rPr>
      </w:pPr>
      <w:r w:rsidRPr="00045D91">
        <w:rPr>
          <w:rFonts w:asciiTheme="minorEastAsia" w:eastAsiaTheme="minorEastAsia" w:hAnsiTheme="minorEastAsia" w:hint="eastAsia"/>
        </w:rPr>
        <w:t>これらの課題に取り組むことは本調査の目的である大規模事故の未然防止にも寄与するので、特徴的な事例を詳細に調査することで保安への改善提言に役立てていく。</w:t>
      </w:r>
    </w:p>
    <w:sectPr w:rsidR="00CD3072" w:rsidRPr="00045D91" w:rsidSect="004D5DE2">
      <w:footerReference w:type="default" r:id="rId11"/>
      <w:pgSz w:w="11906" w:h="16838" w:code="9"/>
      <w:pgMar w:top="1134" w:right="1418" w:bottom="851" w:left="1418" w:header="567"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E44" w:rsidRDefault="00957E44" w:rsidP="0021347C">
      <w:r>
        <w:separator/>
      </w:r>
    </w:p>
  </w:endnote>
  <w:endnote w:type="continuationSeparator" w:id="0">
    <w:p w:rsidR="00957E44" w:rsidRDefault="00957E44" w:rsidP="00213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504128"/>
      <w:docPartObj>
        <w:docPartGallery w:val="Page Numbers (Bottom of Page)"/>
        <w:docPartUnique/>
      </w:docPartObj>
    </w:sdtPr>
    <w:sdtEndPr/>
    <w:sdtContent>
      <w:p w:rsidR="00891078" w:rsidRDefault="00891078">
        <w:pPr>
          <w:pStyle w:val="a5"/>
          <w:jc w:val="center"/>
        </w:pPr>
        <w:r>
          <w:fldChar w:fldCharType="begin"/>
        </w:r>
        <w:r>
          <w:instrText xml:space="preserve"> PAGE   \* MERGEFORMAT </w:instrText>
        </w:r>
        <w:r>
          <w:fldChar w:fldCharType="separate"/>
        </w:r>
        <w:r w:rsidR="00DA349C" w:rsidRPr="00DA349C">
          <w:rPr>
            <w:noProof/>
            <w:lang w:val="ja-JP"/>
          </w:rPr>
          <w:t>3</w:t>
        </w:r>
        <w:r>
          <w:rPr>
            <w:noProof/>
            <w:lang w:val="ja-JP"/>
          </w:rPr>
          <w:fldChar w:fldCharType="end"/>
        </w:r>
      </w:p>
    </w:sdtContent>
  </w:sdt>
  <w:p w:rsidR="00891078" w:rsidRDefault="0089107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E44" w:rsidRDefault="00957E44" w:rsidP="0021347C">
      <w:r>
        <w:separator/>
      </w:r>
    </w:p>
  </w:footnote>
  <w:footnote w:type="continuationSeparator" w:id="0">
    <w:p w:rsidR="00957E44" w:rsidRDefault="00957E44" w:rsidP="002134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22A72"/>
    <w:multiLevelType w:val="hybridMultilevel"/>
    <w:tmpl w:val="B444024A"/>
    <w:lvl w:ilvl="0" w:tplc="BB5425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594C1C"/>
    <w:multiLevelType w:val="hybridMultilevel"/>
    <w:tmpl w:val="58B0DB00"/>
    <w:lvl w:ilvl="0" w:tplc="2B5AA040">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 w15:restartNumberingAfterBreak="0">
    <w:nsid w:val="26525B5D"/>
    <w:multiLevelType w:val="hybridMultilevel"/>
    <w:tmpl w:val="027CB24E"/>
    <w:lvl w:ilvl="0" w:tplc="F52ACCB0">
      <w:start w:val="1"/>
      <w:numFmt w:val="bullet"/>
      <w:lvlText w:val="○"/>
      <w:lvlJc w:val="left"/>
      <w:pPr>
        <w:ind w:left="903" w:hanging="420"/>
      </w:pPr>
      <w:rPr>
        <w:rFonts w:ascii="ＭＳ 明朝" w:eastAsia="ＭＳ 明朝" w:hAnsi="ＭＳ 明朝"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8FE46E3"/>
    <w:multiLevelType w:val="hybridMultilevel"/>
    <w:tmpl w:val="5ECE656A"/>
    <w:lvl w:ilvl="0" w:tplc="04090001">
      <w:start w:val="1"/>
      <w:numFmt w:val="bullet"/>
      <w:lvlText w:val=""/>
      <w:lvlJc w:val="left"/>
      <w:pPr>
        <w:ind w:left="903" w:hanging="420"/>
      </w:pPr>
      <w:rPr>
        <w:rFonts w:ascii="Wingdings" w:hAnsi="Wingdings" w:hint="default"/>
      </w:rPr>
    </w:lvl>
    <w:lvl w:ilvl="1" w:tplc="0409000B" w:tentative="1">
      <w:start w:val="1"/>
      <w:numFmt w:val="bullet"/>
      <w:lvlText w:val=""/>
      <w:lvlJc w:val="left"/>
      <w:pPr>
        <w:ind w:left="1323" w:hanging="420"/>
      </w:pPr>
      <w:rPr>
        <w:rFonts w:ascii="Wingdings" w:hAnsi="Wingdings" w:hint="default"/>
      </w:rPr>
    </w:lvl>
    <w:lvl w:ilvl="2" w:tplc="0409000D" w:tentative="1">
      <w:start w:val="1"/>
      <w:numFmt w:val="bullet"/>
      <w:lvlText w:val=""/>
      <w:lvlJc w:val="left"/>
      <w:pPr>
        <w:ind w:left="1743" w:hanging="420"/>
      </w:pPr>
      <w:rPr>
        <w:rFonts w:ascii="Wingdings" w:hAnsi="Wingdings" w:hint="default"/>
      </w:rPr>
    </w:lvl>
    <w:lvl w:ilvl="3" w:tplc="04090001" w:tentative="1">
      <w:start w:val="1"/>
      <w:numFmt w:val="bullet"/>
      <w:lvlText w:val=""/>
      <w:lvlJc w:val="left"/>
      <w:pPr>
        <w:ind w:left="2163" w:hanging="420"/>
      </w:pPr>
      <w:rPr>
        <w:rFonts w:ascii="Wingdings" w:hAnsi="Wingdings" w:hint="default"/>
      </w:rPr>
    </w:lvl>
    <w:lvl w:ilvl="4" w:tplc="0409000B" w:tentative="1">
      <w:start w:val="1"/>
      <w:numFmt w:val="bullet"/>
      <w:lvlText w:val=""/>
      <w:lvlJc w:val="left"/>
      <w:pPr>
        <w:ind w:left="2583" w:hanging="420"/>
      </w:pPr>
      <w:rPr>
        <w:rFonts w:ascii="Wingdings" w:hAnsi="Wingdings" w:hint="default"/>
      </w:rPr>
    </w:lvl>
    <w:lvl w:ilvl="5" w:tplc="0409000D" w:tentative="1">
      <w:start w:val="1"/>
      <w:numFmt w:val="bullet"/>
      <w:lvlText w:val=""/>
      <w:lvlJc w:val="left"/>
      <w:pPr>
        <w:ind w:left="3003" w:hanging="420"/>
      </w:pPr>
      <w:rPr>
        <w:rFonts w:ascii="Wingdings" w:hAnsi="Wingdings" w:hint="default"/>
      </w:rPr>
    </w:lvl>
    <w:lvl w:ilvl="6" w:tplc="04090001" w:tentative="1">
      <w:start w:val="1"/>
      <w:numFmt w:val="bullet"/>
      <w:lvlText w:val=""/>
      <w:lvlJc w:val="left"/>
      <w:pPr>
        <w:ind w:left="3423" w:hanging="420"/>
      </w:pPr>
      <w:rPr>
        <w:rFonts w:ascii="Wingdings" w:hAnsi="Wingdings" w:hint="default"/>
      </w:rPr>
    </w:lvl>
    <w:lvl w:ilvl="7" w:tplc="0409000B" w:tentative="1">
      <w:start w:val="1"/>
      <w:numFmt w:val="bullet"/>
      <w:lvlText w:val=""/>
      <w:lvlJc w:val="left"/>
      <w:pPr>
        <w:ind w:left="3843" w:hanging="420"/>
      </w:pPr>
      <w:rPr>
        <w:rFonts w:ascii="Wingdings" w:hAnsi="Wingdings" w:hint="default"/>
      </w:rPr>
    </w:lvl>
    <w:lvl w:ilvl="8" w:tplc="0409000D" w:tentative="1">
      <w:start w:val="1"/>
      <w:numFmt w:val="bullet"/>
      <w:lvlText w:val=""/>
      <w:lvlJc w:val="left"/>
      <w:pPr>
        <w:ind w:left="4263" w:hanging="420"/>
      </w:pPr>
      <w:rPr>
        <w:rFonts w:ascii="Wingdings" w:hAnsi="Wingdings" w:hint="default"/>
      </w:rPr>
    </w:lvl>
  </w:abstractNum>
  <w:abstractNum w:abstractNumId="4" w15:restartNumberingAfterBreak="0">
    <w:nsid w:val="36CA2399"/>
    <w:multiLevelType w:val="hybridMultilevel"/>
    <w:tmpl w:val="54C0D310"/>
    <w:lvl w:ilvl="0" w:tplc="8FD42CC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0"/>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47C"/>
    <w:rsid w:val="00003FA5"/>
    <w:rsid w:val="00006AD5"/>
    <w:rsid w:val="0001525D"/>
    <w:rsid w:val="000167DB"/>
    <w:rsid w:val="000177D0"/>
    <w:rsid w:val="00036CC0"/>
    <w:rsid w:val="00045D91"/>
    <w:rsid w:val="0005022C"/>
    <w:rsid w:val="00055AE3"/>
    <w:rsid w:val="00057AC7"/>
    <w:rsid w:val="000602D5"/>
    <w:rsid w:val="00061BB9"/>
    <w:rsid w:val="0006306E"/>
    <w:rsid w:val="00065C56"/>
    <w:rsid w:val="00065E38"/>
    <w:rsid w:val="00074680"/>
    <w:rsid w:val="00075900"/>
    <w:rsid w:val="000836B2"/>
    <w:rsid w:val="00084762"/>
    <w:rsid w:val="00090CF2"/>
    <w:rsid w:val="00094B7C"/>
    <w:rsid w:val="000B31EE"/>
    <w:rsid w:val="000B4F93"/>
    <w:rsid w:val="000C0B99"/>
    <w:rsid w:val="000C0D76"/>
    <w:rsid w:val="000C2A3E"/>
    <w:rsid w:val="000D51F5"/>
    <w:rsid w:val="000D5F1A"/>
    <w:rsid w:val="000D7E98"/>
    <w:rsid w:val="000E04A2"/>
    <w:rsid w:val="000F51FE"/>
    <w:rsid w:val="000F6DAD"/>
    <w:rsid w:val="001008C7"/>
    <w:rsid w:val="0010396C"/>
    <w:rsid w:val="001053D2"/>
    <w:rsid w:val="00116962"/>
    <w:rsid w:val="0013250F"/>
    <w:rsid w:val="00135CBC"/>
    <w:rsid w:val="00136307"/>
    <w:rsid w:val="00140E7E"/>
    <w:rsid w:val="0015661B"/>
    <w:rsid w:val="00170B35"/>
    <w:rsid w:val="0017541F"/>
    <w:rsid w:val="0018525D"/>
    <w:rsid w:val="00185E94"/>
    <w:rsid w:val="00197CFC"/>
    <w:rsid w:val="00197E1F"/>
    <w:rsid w:val="001A3789"/>
    <w:rsid w:val="001B17BA"/>
    <w:rsid w:val="001B6E12"/>
    <w:rsid w:val="001B7078"/>
    <w:rsid w:val="001C4238"/>
    <w:rsid w:val="001E1D09"/>
    <w:rsid w:val="001E1FCA"/>
    <w:rsid w:val="001F2E15"/>
    <w:rsid w:val="00203F8B"/>
    <w:rsid w:val="002044BC"/>
    <w:rsid w:val="0021214B"/>
    <w:rsid w:val="0021347C"/>
    <w:rsid w:val="00213548"/>
    <w:rsid w:val="002176D2"/>
    <w:rsid w:val="002216AB"/>
    <w:rsid w:val="00223560"/>
    <w:rsid w:val="00225D5D"/>
    <w:rsid w:val="002349D2"/>
    <w:rsid w:val="002350B2"/>
    <w:rsid w:val="00237AF9"/>
    <w:rsid w:val="0024088D"/>
    <w:rsid w:val="00242CD4"/>
    <w:rsid w:val="00255E90"/>
    <w:rsid w:val="002579BF"/>
    <w:rsid w:val="00266ADB"/>
    <w:rsid w:val="00271848"/>
    <w:rsid w:val="00271DE9"/>
    <w:rsid w:val="0027517C"/>
    <w:rsid w:val="002A3C15"/>
    <w:rsid w:val="002A40F6"/>
    <w:rsid w:val="002C56D8"/>
    <w:rsid w:val="002D248D"/>
    <w:rsid w:val="002D712C"/>
    <w:rsid w:val="002F04F5"/>
    <w:rsid w:val="002F5F9D"/>
    <w:rsid w:val="002F71F4"/>
    <w:rsid w:val="00300239"/>
    <w:rsid w:val="00310E7A"/>
    <w:rsid w:val="0031475F"/>
    <w:rsid w:val="003247D6"/>
    <w:rsid w:val="00333375"/>
    <w:rsid w:val="003645A9"/>
    <w:rsid w:val="00366C6D"/>
    <w:rsid w:val="00371DF2"/>
    <w:rsid w:val="003852EB"/>
    <w:rsid w:val="003A33EB"/>
    <w:rsid w:val="003A5143"/>
    <w:rsid w:val="003C3189"/>
    <w:rsid w:val="003C32BF"/>
    <w:rsid w:val="003E019D"/>
    <w:rsid w:val="003E0F6E"/>
    <w:rsid w:val="003E4BA0"/>
    <w:rsid w:val="00416111"/>
    <w:rsid w:val="00433C35"/>
    <w:rsid w:val="004377AA"/>
    <w:rsid w:val="0044362B"/>
    <w:rsid w:val="00454CAD"/>
    <w:rsid w:val="00454FA0"/>
    <w:rsid w:val="00455C02"/>
    <w:rsid w:val="00457E6F"/>
    <w:rsid w:val="00483D27"/>
    <w:rsid w:val="00485CF2"/>
    <w:rsid w:val="0049616D"/>
    <w:rsid w:val="004C1F43"/>
    <w:rsid w:val="004C5831"/>
    <w:rsid w:val="004D3E31"/>
    <w:rsid w:val="004D57F0"/>
    <w:rsid w:val="004D598F"/>
    <w:rsid w:val="004D5DE2"/>
    <w:rsid w:val="004D7E4C"/>
    <w:rsid w:val="004E48C3"/>
    <w:rsid w:val="0050005F"/>
    <w:rsid w:val="00505C86"/>
    <w:rsid w:val="00507C95"/>
    <w:rsid w:val="00513077"/>
    <w:rsid w:val="005211AE"/>
    <w:rsid w:val="00524498"/>
    <w:rsid w:val="00526917"/>
    <w:rsid w:val="00536695"/>
    <w:rsid w:val="00561675"/>
    <w:rsid w:val="00562CCB"/>
    <w:rsid w:val="0057537B"/>
    <w:rsid w:val="005768BD"/>
    <w:rsid w:val="005918A6"/>
    <w:rsid w:val="0059635A"/>
    <w:rsid w:val="005C3260"/>
    <w:rsid w:val="005D20B2"/>
    <w:rsid w:val="005D6CEC"/>
    <w:rsid w:val="005E4140"/>
    <w:rsid w:val="005E42AC"/>
    <w:rsid w:val="005F3D3A"/>
    <w:rsid w:val="0060035A"/>
    <w:rsid w:val="00601576"/>
    <w:rsid w:val="00601DEC"/>
    <w:rsid w:val="006031C9"/>
    <w:rsid w:val="00605C39"/>
    <w:rsid w:val="00614BB6"/>
    <w:rsid w:val="00621441"/>
    <w:rsid w:val="00626DA1"/>
    <w:rsid w:val="006276AB"/>
    <w:rsid w:val="0063118E"/>
    <w:rsid w:val="00631B15"/>
    <w:rsid w:val="00637E97"/>
    <w:rsid w:val="00644E71"/>
    <w:rsid w:val="006655D1"/>
    <w:rsid w:val="00675524"/>
    <w:rsid w:val="00696D73"/>
    <w:rsid w:val="006A1FA5"/>
    <w:rsid w:val="006A2289"/>
    <w:rsid w:val="006A2D7A"/>
    <w:rsid w:val="006A6386"/>
    <w:rsid w:val="006C554B"/>
    <w:rsid w:val="006E63CD"/>
    <w:rsid w:val="006F2259"/>
    <w:rsid w:val="007030BC"/>
    <w:rsid w:val="00706D7E"/>
    <w:rsid w:val="00712AE3"/>
    <w:rsid w:val="00742780"/>
    <w:rsid w:val="0075028E"/>
    <w:rsid w:val="007548EC"/>
    <w:rsid w:val="00763D03"/>
    <w:rsid w:val="00793C90"/>
    <w:rsid w:val="007A52C6"/>
    <w:rsid w:val="007C0153"/>
    <w:rsid w:val="007C02AF"/>
    <w:rsid w:val="007C47AF"/>
    <w:rsid w:val="007D08A5"/>
    <w:rsid w:val="007E0482"/>
    <w:rsid w:val="007E1D54"/>
    <w:rsid w:val="00800FD8"/>
    <w:rsid w:val="008039A1"/>
    <w:rsid w:val="00821B7F"/>
    <w:rsid w:val="008324BE"/>
    <w:rsid w:val="008330A5"/>
    <w:rsid w:val="008348BB"/>
    <w:rsid w:val="008351C4"/>
    <w:rsid w:val="00835680"/>
    <w:rsid w:val="008369C1"/>
    <w:rsid w:val="00841B3E"/>
    <w:rsid w:val="00841CA5"/>
    <w:rsid w:val="008443F3"/>
    <w:rsid w:val="00847BD1"/>
    <w:rsid w:val="00850190"/>
    <w:rsid w:val="008532A1"/>
    <w:rsid w:val="00854E27"/>
    <w:rsid w:val="00861C81"/>
    <w:rsid w:val="00870DA6"/>
    <w:rsid w:val="00876224"/>
    <w:rsid w:val="00877033"/>
    <w:rsid w:val="00881809"/>
    <w:rsid w:val="00881B14"/>
    <w:rsid w:val="00882689"/>
    <w:rsid w:val="00891078"/>
    <w:rsid w:val="008954F8"/>
    <w:rsid w:val="008B21C0"/>
    <w:rsid w:val="008B2AC6"/>
    <w:rsid w:val="008C6AC8"/>
    <w:rsid w:val="008D22CA"/>
    <w:rsid w:val="008D7033"/>
    <w:rsid w:val="008F1C3C"/>
    <w:rsid w:val="008F23F5"/>
    <w:rsid w:val="00913C5E"/>
    <w:rsid w:val="009207C8"/>
    <w:rsid w:val="00923E28"/>
    <w:rsid w:val="00932656"/>
    <w:rsid w:val="00932CD1"/>
    <w:rsid w:val="00935F73"/>
    <w:rsid w:val="00936538"/>
    <w:rsid w:val="00943910"/>
    <w:rsid w:val="00944DB6"/>
    <w:rsid w:val="00957E44"/>
    <w:rsid w:val="0098439E"/>
    <w:rsid w:val="00985C95"/>
    <w:rsid w:val="009901F7"/>
    <w:rsid w:val="009A49D8"/>
    <w:rsid w:val="009A637F"/>
    <w:rsid w:val="009A70E5"/>
    <w:rsid w:val="009A7C3F"/>
    <w:rsid w:val="009B77ED"/>
    <w:rsid w:val="009C3ECE"/>
    <w:rsid w:val="009D26B2"/>
    <w:rsid w:val="009E44A3"/>
    <w:rsid w:val="009E66F1"/>
    <w:rsid w:val="009F1A2F"/>
    <w:rsid w:val="009F42FB"/>
    <w:rsid w:val="00A06238"/>
    <w:rsid w:val="00A15D7A"/>
    <w:rsid w:val="00A23415"/>
    <w:rsid w:val="00A361AB"/>
    <w:rsid w:val="00A463A9"/>
    <w:rsid w:val="00A666D3"/>
    <w:rsid w:val="00A707C9"/>
    <w:rsid w:val="00A73173"/>
    <w:rsid w:val="00A7424E"/>
    <w:rsid w:val="00A81EDF"/>
    <w:rsid w:val="00A92779"/>
    <w:rsid w:val="00A95272"/>
    <w:rsid w:val="00AA481D"/>
    <w:rsid w:val="00AB3774"/>
    <w:rsid w:val="00AD3BDB"/>
    <w:rsid w:val="00AD3EA1"/>
    <w:rsid w:val="00AF18A6"/>
    <w:rsid w:val="00AF725E"/>
    <w:rsid w:val="00B22ED4"/>
    <w:rsid w:val="00B25022"/>
    <w:rsid w:val="00B34E95"/>
    <w:rsid w:val="00B4508E"/>
    <w:rsid w:val="00B52950"/>
    <w:rsid w:val="00B52C1A"/>
    <w:rsid w:val="00B660D7"/>
    <w:rsid w:val="00B774AC"/>
    <w:rsid w:val="00B80D16"/>
    <w:rsid w:val="00B8259C"/>
    <w:rsid w:val="00B96308"/>
    <w:rsid w:val="00B97726"/>
    <w:rsid w:val="00BA155D"/>
    <w:rsid w:val="00BA5ACE"/>
    <w:rsid w:val="00BA7108"/>
    <w:rsid w:val="00BB387C"/>
    <w:rsid w:val="00BC054B"/>
    <w:rsid w:val="00BC2C1D"/>
    <w:rsid w:val="00BC2DAE"/>
    <w:rsid w:val="00BE339E"/>
    <w:rsid w:val="00BF1E71"/>
    <w:rsid w:val="00BF26EE"/>
    <w:rsid w:val="00BF646C"/>
    <w:rsid w:val="00C01018"/>
    <w:rsid w:val="00C026B5"/>
    <w:rsid w:val="00C0647D"/>
    <w:rsid w:val="00C1626C"/>
    <w:rsid w:val="00C245D1"/>
    <w:rsid w:val="00C5048B"/>
    <w:rsid w:val="00C53285"/>
    <w:rsid w:val="00C666B0"/>
    <w:rsid w:val="00C73C00"/>
    <w:rsid w:val="00C80538"/>
    <w:rsid w:val="00C940D9"/>
    <w:rsid w:val="00C968AC"/>
    <w:rsid w:val="00CA7520"/>
    <w:rsid w:val="00CB5FF5"/>
    <w:rsid w:val="00CC5EB6"/>
    <w:rsid w:val="00CC671A"/>
    <w:rsid w:val="00CC6861"/>
    <w:rsid w:val="00CD3072"/>
    <w:rsid w:val="00CD3940"/>
    <w:rsid w:val="00CE2A86"/>
    <w:rsid w:val="00CE4890"/>
    <w:rsid w:val="00CE5D96"/>
    <w:rsid w:val="00CE7ED4"/>
    <w:rsid w:val="00CF02C2"/>
    <w:rsid w:val="00D02975"/>
    <w:rsid w:val="00D0415F"/>
    <w:rsid w:val="00D20E92"/>
    <w:rsid w:val="00D31E96"/>
    <w:rsid w:val="00D3565E"/>
    <w:rsid w:val="00D41ACF"/>
    <w:rsid w:val="00D46CBA"/>
    <w:rsid w:val="00D52646"/>
    <w:rsid w:val="00D561A5"/>
    <w:rsid w:val="00D62353"/>
    <w:rsid w:val="00D67328"/>
    <w:rsid w:val="00D87990"/>
    <w:rsid w:val="00D92AE6"/>
    <w:rsid w:val="00DA2143"/>
    <w:rsid w:val="00DA349C"/>
    <w:rsid w:val="00DA5A29"/>
    <w:rsid w:val="00DB570D"/>
    <w:rsid w:val="00DC1CF0"/>
    <w:rsid w:val="00DF5FDE"/>
    <w:rsid w:val="00E00C57"/>
    <w:rsid w:val="00E01FFE"/>
    <w:rsid w:val="00E11651"/>
    <w:rsid w:val="00E17954"/>
    <w:rsid w:val="00E25854"/>
    <w:rsid w:val="00E6444E"/>
    <w:rsid w:val="00E649B3"/>
    <w:rsid w:val="00E735EC"/>
    <w:rsid w:val="00E75F09"/>
    <w:rsid w:val="00E80B5B"/>
    <w:rsid w:val="00E91FC6"/>
    <w:rsid w:val="00E9641B"/>
    <w:rsid w:val="00EA3A5B"/>
    <w:rsid w:val="00EA4050"/>
    <w:rsid w:val="00EA6C19"/>
    <w:rsid w:val="00EB0DD2"/>
    <w:rsid w:val="00EB4D0C"/>
    <w:rsid w:val="00EB55E7"/>
    <w:rsid w:val="00EB7DA1"/>
    <w:rsid w:val="00EC062A"/>
    <w:rsid w:val="00EC0CF8"/>
    <w:rsid w:val="00F07AD0"/>
    <w:rsid w:val="00F14CFD"/>
    <w:rsid w:val="00F268B0"/>
    <w:rsid w:val="00F352AF"/>
    <w:rsid w:val="00F3589A"/>
    <w:rsid w:val="00F52758"/>
    <w:rsid w:val="00F613F5"/>
    <w:rsid w:val="00F65513"/>
    <w:rsid w:val="00F765AF"/>
    <w:rsid w:val="00F82CC4"/>
    <w:rsid w:val="00F85830"/>
    <w:rsid w:val="00FA2148"/>
    <w:rsid w:val="00FB0965"/>
    <w:rsid w:val="00FB7EBB"/>
    <w:rsid w:val="00FC3382"/>
    <w:rsid w:val="00FD25BB"/>
    <w:rsid w:val="00FE55DC"/>
    <w:rsid w:val="00FF1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354331C1-047C-4514-98F8-9CF47BAD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4A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347C"/>
    <w:pPr>
      <w:tabs>
        <w:tab w:val="center" w:pos="4252"/>
        <w:tab w:val="right" w:pos="8504"/>
      </w:tabs>
      <w:snapToGrid w:val="0"/>
    </w:pPr>
  </w:style>
  <w:style w:type="character" w:customStyle="1" w:styleId="a4">
    <w:name w:val="ヘッダー (文字)"/>
    <w:basedOn w:val="a0"/>
    <w:link w:val="a3"/>
    <w:uiPriority w:val="99"/>
    <w:rsid w:val="0021347C"/>
  </w:style>
  <w:style w:type="paragraph" w:styleId="a5">
    <w:name w:val="footer"/>
    <w:basedOn w:val="a"/>
    <w:link w:val="a6"/>
    <w:uiPriority w:val="99"/>
    <w:unhideWhenUsed/>
    <w:rsid w:val="0021347C"/>
    <w:pPr>
      <w:tabs>
        <w:tab w:val="center" w:pos="4252"/>
        <w:tab w:val="right" w:pos="8504"/>
      </w:tabs>
      <w:snapToGrid w:val="0"/>
    </w:pPr>
  </w:style>
  <w:style w:type="character" w:customStyle="1" w:styleId="a6">
    <w:name w:val="フッター (文字)"/>
    <w:basedOn w:val="a0"/>
    <w:link w:val="a5"/>
    <w:uiPriority w:val="99"/>
    <w:rsid w:val="0021347C"/>
  </w:style>
  <w:style w:type="table" w:styleId="a7">
    <w:name w:val="Table Grid"/>
    <w:basedOn w:val="a1"/>
    <w:uiPriority w:val="59"/>
    <w:rsid w:val="00D92A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57E6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7E6F"/>
    <w:rPr>
      <w:rFonts w:asciiTheme="majorHAnsi" w:eastAsiaTheme="majorEastAsia" w:hAnsiTheme="majorHAnsi" w:cstheme="majorBidi"/>
      <w:sz w:val="18"/>
      <w:szCs w:val="18"/>
    </w:rPr>
  </w:style>
  <w:style w:type="paragraph" w:customStyle="1" w:styleId="aa">
    <w:name w:val="一太郎８"/>
    <w:rsid w:val="00457E6F"/>
    <w:pPr>
      <w:widowControl w:val="0"/>
      <w:wordWrap w:val="0"/>
      <w:autoSpaceDE w:val="0"/>
      <w:autoSpaceDN w:val="0"/>
      <w:adjustRightInd w:val="0"/>
      <w:spacing w:line="334" w:lineRule="atLeast"/>
    </w:pPr>
    <w:rPr>
      <w:rFonts w:ascii="Times New Roman" w:hAnsi="Times New Roman" w:cs="Times New Roman"/>
      <w:spacing w:val="-1"/>
      <w:kern w:val="0"/>
      <w:sz w:val="21"/>
      <w:szCs w:val="20"/>
    </w:rPr>
  </w:style>
  <w:style w:type="paragraph" w:styleId="HTML">
    <w:name w:val="HTML Preformatted"/>
    <w:basedOn w:val="a"/>
    <w:link w:val="HTML0"/>
    <w:uiPriority w:val="99"/>
    <w:unhideWhenUsed/>
    <w:rsid w:val="004D57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rPr>
  </w:style>
  <w:style w:type="character" w:customStyle="1" w:styleId="HTML0">
    <w:name w:val="HTML 書式付き (文字)"/>
    <w:basedOn w:val="a0"/>
    <w:link w:val="HTML"/>
    <w:uiPriority w:val="99"/>
    <w:rsid w:val="004D57F0"/>
    <w:rPr>
      <w:rFonts w:ascii="ＭＳ ゴシック" w:eastAsia="ＭＳ ゴシック" w:hAnsi="ＭＳ ゴシック" w:cs="ＭＳ ゴシック"/>
      <w:kern w:val="0"/>
    </w:rPr>
  </w:style>
  <w:style w:type="paragraph" w:styleId="ab">
    <w:name w:val="List Paragraph"/>
    <w:basedOn w:val="a"/>
    <w:uiPriority w:val="34"/>
    <w:qFormat/>
    <w:rsid w:val="005F3D3A"/>
    <w:pPr>
      <w:ind w:leftChars="400" w:left="840"/>
    </w:pPr>
  </w:style>
  <w:style w:type="paragraph" w:customStyle="1" w:styleId="Default">
    <w:name w:val="Default"/>
    <w:rsid w:val="00D87990"/>
    <w:pPr>
      <w:widowControl w:val="0"/>
      <w:autoSpaceDE w:val="0"/>
      <w:autoSpaceDN w:val="0"/>
      <w:adjustRightInd w:val="0"/>
      <w:jc w:val="left"/>
    </w:pPr>
    <w:rPr>
      <w:rFonts w:ascii="ＭＳ Ｐゴシック" w:eastAsia="ＭＳ Ｐゴシック" w:cs="ＭＳ Ｐゴシック"/>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3</Pages>
  <Words>192</Words>
  <Characters>1097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2019-02-11T23:29:00Z</cp:lastPrinted>
  <dcterms:created xsi:type="dcterms:W3CDTF">2020-04-07T07:30:00Z</dcterms:created>
  <dcterms:modified xsi:type="dcterms:W3CDTF">2021-05-31T00:48:00Z</dcterms:modified>
</cp:coreProperties>
</file>