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7B02FC">
      <w:pPr>
        <w:rPr>
          <w:rFonts w:ascii="ＭＳ ゴシック" w:eastAsia="ＭＳ ゴシック" w:hAnsi="ＭＳ ゴシック"/>
        </w:rPr>
      </w:pPr>
      <w:r>
        <w:rPr>
          <w:rFonts w:ascii="ＭＳ ゴシック" w:eastAsia="ＭＳ ゴシック" w:hAnsi="ＭＳ ゴシック"/>
          <w:noProof/>
        </w:rPr>
        <w:pict>
          <v:rect id="_x0000_s1030" style="position:absolute;left:0;text-align:left;margin-left:388.8pt;margin-top:-57.4pt;width:124.6pt;height:19.35pt;z-index:251660288" stroked="f">
            <v:textbox style="mso-fit-shape-to-text:t" inset="5.85pt,.7pt,5.85pt,.7pt">
              <w:txbxContent>
                <w:p w:rsidR="007B02FC" w:rsidRPr="0038762C" w:rsidRDefault="007B02FC" w:rsidP="007B02FC">
                  <w:pPr>
                    <w:jc w:val="center"/>
                    <w:rPr>
                      <w:rFonts w:ascii="ＭＳ ゴシック" w:eastAsia="ＭＳ ゴシック" w:hAnsi="ＭＳ ゴシック"/>
                    </w:rPr>
                  </w:pPr>
                  <w:r w:rsidRPr="0038762C">
                    <w:rPr>
                      <w:rFonts w:ascii="ＭＳ ゴシック" w:eastAsia="ＭＳ ゴシック" w:hAnsi="ＭＳ ゴシック" w:hint="eastAsia"/>
                    </w:rPr>
                    <w:t>（</w:t>
                  </w:r>
                  <w:r w:rsidRPr="0038762C">
                    <w:rPr>
                      <w:rFonts w:ascii="ＭＳ ゴシック" w:eastAsia="ＭＳ ゴシック" w:hAnsi="ＭＳ ゴシック" w:hint="eastAsia"/>
                    </w:rPr>
                    <w:t>前回配布資料）</w:t>
                  </w:r>
                </w:p>
              </w:txbxContent>
            </v:textbox>
          </v:rect>
        </w:pict>
      </w:r>
      <w:r>
        <w:rPr>
          <w:rFonts w:ascii="ＭＳ ゴシック" w:eastAsia="ＭＳ ゴシック" w:hAnsi="ＭＳ ゴシック"/>
          <w:noProof/>
        </w:rPr>
        <w:pict>
          <v:rect id="_x0000_s1026" style="position:absolute;left:0;text-align:left;margin-left:408.75pt;margin-top:-31.15pt;width:86.25pt;height:38.05pt;z-index:251658240;v-text-anchor:middle">
            <v:textbox style="mso-next-textbox:#_x0000_s1026;mso-fit-shape-to-text:t" inset="5.85pt,.7pt,5.85pt,.7pt">
              <w:txbxContent>
                <w:p w:rsidR="00C948AE" w:rsidRPr="00616D97" w:rsidRDefault="00077C9C" w:rsidP="00C948A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w:t>
                  </w:r>
                  <w:r w:rsidR="0078300A" w:rsidRPr="00836D94">
                    <w:rPr>
                      <w:rFonts w:ascii="ＭＳ ゴシック" w:eastAsia="ＭＳ ゴシック" w:hAnsi="ＭＳ ゴシック" w:hint="eastAsia"/>
                      <w:sz w:val="28"/>
                      <w:szCs w:val="28"/>
                    </w:rPr>
                    <w:t>３</w:t>
                  </w:r>
                </w:p>
              </w:txbxContent>
            </v:textbox>
          </v:rect>
        </w:pict>
      </w:r>
      <w:r w:rsidR="005317BF">
        <w:rPr>
          <w:rFonts w:ascii="ＭＳ ゴシック" w:eastAsia="ＭＳ ゴシック" w:hAnsi="ＭＳ ゴシック"/>
          <w:noProof/>
        </w:rPr>
        <w:pict>
          <v:rect id="_x0000_s1028" style="position:absolute;left:0;text-align:left;margin-left:-10.9pt;margin-top:-45.4pt;width:320.25pt;height:22.5pt;z-index:251659264" stroked="f">
            <v:textbox inset="5.85pt,.7pt,5.85pt,.7pt">
              <w:txbxContent>
                <w:p w:rsidR="00403B78" w:rsidRPr="00177DF1" w:rsidRDefault="00403B78" w:rsidP="00403B78">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6F60E8">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sidR="00403B78">
        <w:rPr>
          <w:rFonts w:ascii="ＭＳ ゴシック" w:eastAsia="ＭＳ ゴシック" w:hAnsi="ＭＳ ゴシック" w:hint="eastAsia"/>
        </w:rPr>
        <w:t>３</w:t>
      </w:r>
      <w:r w:rsidR="006B039F">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事前協議の審査結果基準・条例の評価指標</w:t>
      </w:r>
    </w:p>
    <w:p w:rsidR="000E57A3" w:rsidRPr="0032711A" w:rsidRDefault="000E57A3">
      <w:pPr>
        <w:rPr>
          <w:rFonts w:ascii="ＭＳ ゴシック" w:eastAsia="ＭＳ ゴシック" w:hAnsi="ＭＳ ゴシック"/>
        </w:rPr>
      </w:pPr>
    </w:p>
    <w:p w:rsidR="002E2D3B" w:rsidRDefault="00077C9C" w:rsidP="00077C9C">
      <w:pPr>
        <w:ind w:leftChars="100" w:left="240" w:firstLineChars="100" w:firstLine="240"/>
      </w:pPr>
      <w:r>
        <w:rPr>
          <w:rFonts w:hint="eastAsia"/>
        </w:rPr>
        <w:t>事前</w:t>
      </w:r>
      <w:r w:rsidR="002E2D3B">
        <w:rPr>
          <w:rFonts w:hint="eastAsia"/>
        </w:rPr>
        <w:t>協議の審査結果基準において</w:t>
      </w:r>
      <w:r w:rsidR="00990A5C">
        <w:rPr>
          <w:rFonts w:hint="eastAsia"/>
        </w:rPr>
        <w:t>「適合」となるのは、</w:t>
      </w:r>
      <w:r w:rsidR="002E2D3B">
        <w:rPr>
          <w:rFonts w:hint="eastAsia"/>
        </w:rPr>
        <w:t>必要とされる</w:t>
      </w:r>
      <w:r w:rsidR="00990A5C">
        <w:rPr>
          <w:rFonts w:hint="eastAsia"/>
        </w:rPr>
        <w:t>整備</w:t>
      </w:r>
      <w:r w:rsidR="002E2D3B">
        <w:rPr>
          <w:rFonts w:hint="eastAsia"/>
        </w:rPr>
        <w:t>項目を全て</w:t>
      </w:r>
      <w:r w:rsidR="00990A5C">
        <w:rPr>
          <w:rFonts w:hint="eastAsia"/>
        </w:rPr>
        <w:t>充足</w:t>
      </w:r>
      <w:r w:rsidR="002E2D3B">
        <w:rPr>
          <w:rFonts w:hint="eastAsia"/>
        </w:rPr>
        <w:t>した</w:t>
      </w:r>
      <w:r w:rsidR="00990A5C">
        <w:rPr>
          <w:rFonts w:hint="eastAsia"/>
        </w:rPr>
        <w:t>案件に限られ、「不適合」となる案件の中では、整備基準の充足項目数にかかわらず同じ結果となることから、これらの指標である遵守率や適合率は、必ずしもバリアフリー整備の進捗度を正確に表しているとはいえない。</w:t>
      </w:r>
    </w:p>
    <w:p w:rsidR="00077C9C" w:rsidRDefault="00077C9C" w:rsidP="00077C9C">
      <w:pPr>
        <w:ind w:leftChars="100" w:left="240" w:firstLineChars="100" w:firstLine="240"/>
      </w:pPr>
      <w:r>
        <w:rPr>
          <w:rFonts w:hint="eastAsia"/>
        </w:rPr>
        <w:t>また、この条例の目標は「障害者等が安心して生活し、自らの意思で自由に移動し、及び社会に参加することができるバリアフリーの街づくり」であるが、条例には、条例自体の評価方法や、具体的な達成目標に関する規定は存在しない。</w:t>
      </w:r>
    </w:p>
    <w:p w:rsidR="000E57A3" w:rsidRDefault="000E57A3"/>
    <w:p w:rsidR="0032711A" w:rsidRDefault="00077C9C" w:rsidP="00077C9C">
      <w:pPr>
        <w:ind w:firstLineChars="100" w:firstLine="240"/>
      </w:pPr>
      <w:r>
        <w:rPr>
          <w:rFonts w:ascii="ＭＳ ゴシック" w:eastAsia="ＭＳ ゴシック" w:hAnsi="ＭＳ ゴシック" w:hint="eastAsia"/>
        </w:rPr>
        <w:t>検討すべき事項</w:t>
      </w:r>
      <w:r w:rsidR="006A2E58">
        <w:rPr>
          <w:rFonts w:hint="eastAsia"/>
        </w:rPr>
        <w:t xml:space="preserve">　</w:t>
      </w:r>
    </w:p>
    <w:p w:rsidR="00A5026E" w:rsidRDefault="006B039F" w:rsidP="00077C9C">
      <w:pPr>
        <w:rPr>
          <w:rFonts w:ascii="ＭＳ ゴシック" w:eastAsia="ＭＳ ゴシック" w:hAnsi="ＭＳ ゴシック"/>
        </w:rPr>
      </w:pPr>
      <w:r>
        <w:rPr>
          <w:rFonts w:ascii="ＭＳ ゴシック" w:eastAsia="ＭＳ ゴシック" w:hAnsi="ＭＳ ゴシック" w:hint="eastAsia"/>
        </w:rPr>
        <w:t>（</w:t>
      </w:r>
      <w:r w:rsidR="00077C9C">
        <w:rPr>
          <w:rFonts w:ascii="ＭＳ ゴシック" w:eastAsia="ＭＳ ゴシック" w:hAnsi="ＭＳ ゴシック" w:hint="eastAsia"/>
        </w:rPr>
        <w:t>１</w:t>
      </w:r>
      <w:r>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w:t>
      </w:r>
    </w:p>
    <w:p w:rsidR="0032711A" w:rsidRDefault="00077C9C" w:rsidP="00077C9C">
      <w:pPr>
        <w:ind w:left="720" w:hangingChars="300" w:hanging="720"/>
      </w:pPr>
      <w:r>
        <w:rPr>
          <w:rFonts w:ascii="ＭＳ ゴシック" w:eastAsia="ＭＳ ゴシック" w:hAnsi="ＭＳ ゴシック" w:hint="eastAsia"/>
        </w:rPr>
        <w:t xml:space="preserve">　　　　</w:t>
      </w:r>
      <w:r w:rsidR="0037404C">
        <w:rPr>
          <w:rFonts w:hint="eastAsia"/>
        </w:rPr>
        <w:t>事前協議の結果が不適合であ</w:t>
      </w:r>
      <w:r w:rsidR="008B6FB7">
        <w:rPr>
          <w:rFonts w:hint="eastAsia"/>
        </w:rPr>
        <w:t>っても、</w:t>
      </w:r>
      <w:r w:rsidR="0037404C">
        <w:rPr>
          <w:rFonts w:hint="eastAsia"/>
        </w:rPr>
        <w:t>整備基準を全く満たしていない</w:t>
      </w:r>
      <w:r w:rsidR="008B6FB7">
        <w:rPr>
          <w:rFonts w:hint="eastAsia"/>
        </w:rPr>
        <w:t>とは限らない。昨年度の調査では、</w:t>
      </w:r>
      <w:r w:rsidR="0037404C">
        <w:rPr>
          <w:rFonts w:hint="eastAsia"/>
        </w:rPr>
        <w:t>不適合案件</w:t>
      </w:r>
      <w:r w:rsidR="008B6FB7">
        <w:rPr>
          <w:rFonts w:hint="eastAsia"/>
        </w:rPr>
        <w:t>の</w:t>
      </w:r>
      <w:r w:rsidR="0037404C">
        <w:rPr>
          <w:rFonts w:hint="eastAsia"/>
        </w:rPr>
        <w:t>全体</w:t>
      </w:r>
      <w:r w:rsidR="008B6FB7">
        <w:rPr>
          <w:rFonts w:hint="eastAsia"/>
        </w:rPr>
        <w:t>平均</w:t>
      </w:r>
      <w:r w:rsidR="0037404C">
        <w:rPr>
          <w:rFonts w:hint="eastAsia"/>
        </w:rPr>
        <w:t>で約７割の整備項目を満たして</w:t>
      </w:r>
      <w:r w:rsidR="008B6FB7">
        <w:rPr>
          <w:rFonts w:hint="eastAsia"/>
        </w:rPr>
        <w:t>いるという結果も出て</w:t>
      </w:r>
      <w:r w:rsidR="00E50A2A">
        <w:rPr>
          <w:rFonts w:hint="eastAsia"/>
        </w:rPr>
        <w:t>おり、遵守率が低いからといって、必ずしも建築物の質が低下しているとはいえないこ</w:t>
      </w:r>
      <w:r w:rsidR="008B6FB7">
        <w:rPr>
          <w:rFonts w:hint="eastAsia"/>
        </w:rPr>
        <w:t>とから、不適合とされる案件を</w:t>
      </w:r>
      <w:r w:rsidR="0037404C">
        <w:rPr>
          <w:rFonts w:hint="eastAsia"/>
        </w:rPr>
        <w:t>正当</w:t>
      </w:r>
      <w:r w:rsidR="008B6FB7">
        <w:rPr>
          <w:rFonts w:hint="eastAsia"/>
        </w:rPr>
        <w:t>に</w:t>
      </w:r>
      <w:r w:rsidR="0037404C">
        <w:rPr>
          <w:rFonts w:hint="eastAsia"/>
        </w:rPr>
        <w:t>評価</w:t>
      </w:r>
      <w:r w:rsidR="008B6FB7">
        <w:rPr>
          <w:rFonts w:hint="eastAsia"/>
        </w:rPr>
        <w:t>する方法について</w:t>
      </w:r>
      <w:r w:rsidR="009576FC">
        <w:rPr>
          <w:rFonts w:hint="eastAsia"/>
        </w:rPr>
        <w:t>検討する必要がある。</w:t>
      </w:r>
    </w:p>
    <w:p w:rsidR="00077C9C" w:rsidRDefault="00077C9C" w:rsidP="00077C9C">
      <w:pPr>
        <w:ind w:left="720" w:hangingChars="300" w:hanging="720"/>
      </w:pPr>
    </w:p>
    <w:p w:rsidR="000E57A3" w:rsidRDefault="006B039F" w:rsidP="00077C9C">
      <w:pPr>
        <w:rPr>
          <w:rFonts w:ascii="ＭＳ ゴシック" w:eastAsia="ＭＳ ゴシック" w:hAnsi="ＭＳ ゴシック"/>
        </w:rPr>
      </w:pPr>
      <w:r>
        <w:rPr>
          <w:rFonts w:hint="eastAsia"/>
        </w:rPr>
        <w:t>（</w:t>
      </w:r>
      <w:r w:rsidR="00077C9C">
        <w:rPr>
          <w:rFonts w:ascii="ＭＳ ゴシック" w:eastAsia="ＭＳ ゴシック" w:hAnsi="ＭＳ ゴシック" w:hint="eastAsia"/>
        </w:rPr>
        <w:t>２</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7404C">
        <w:rPr>
          <w:rFonts w:ascii="ＭＳ ゴシック" w:eastAsia="ＭＳ ゴシック" w:hAnsi="ＭＳ ゴシック" w:hint="eastAsia"/>
        </w:rPr>
        <w:t>段階的な</w:t>
      </w:r>
      <w:r w:rsidR="00077C9C">
        <w:rPr>
          <w:rFonts w:ascii="ＭＳ ゴシック" w:eastAsia="ＭＳ ゴシック" w:hAnsi="ＭＳ ゴシック" w:hint="eastAsia"/>
        </w:rPr>
        <w:t>審査</w:t>
      </w:r>
      <w:r w:rsidR="0037404C">
        <w:rPr>
          <w:rFonts w:ascii="ＭＳ ゴシック" w:eastAsia="ＭＳ ゴシック" w:hAnsi="ＭＳ ゴシック" w:hint="eastAsia"/>
        </w:rPr>
        <w:t>結果基準</w:t>
      </w:r>
    </w:p>
    <w:p w:rsidR="00DA35E8" w:rsidRDefault="00077C9C" w:rsidP="00077C9C">
      <w:pPr>
        <w:ind w:left="720" w:hangingChars="300" w:hanging="720"/>
        <w:rPr>
          <w:kern w:val="0"/>
        </w:rPr>
      </w:pPr>
      <w:r>
        <w:rPr>
          <w:rFonts w:ascii="ＭＳ ゴシック" w:eastAsia="ＭＳ ゴシック" w:hAnsi="ＭＳ ゴシック" w:hint="eastAsia"/>
        </w:rPr>
        <w:t xml:space="preserve">　　　　</w:t>
      </w:r>
      <w:r w:rsidR="00990A5C" w:rsidRPr="00F23ECC">
        <w:rPr>
          <w:rFonts w:hint="eastAsia"/>
          <w:kern w:val="0"/>
        </w:rPr>
        <w:t>事前協議の結果、</w:t>
      </w:r>
      <w:r w:rsidR="00990A5C">
        <w:rPr>
          <w:rFonts w:hint="eastAsia"/>
          <w:kern w:val="0"/>
        </w:rPr>
        <w:t>整備項目を一つでも満たせなければ不適合とな</w:t>
      </w:r>
      <w:r w:rsidR="008B6FB7">
        <w:rPr>
          <w:rFonts w:hint="eastAsia"/>
          <w:kern w:val="0"/>
        </w:rPr>
        <w:t>る</w:t>
      </w:r>
      <w:r w:rsidR="00990A5C">
        <w:rPr>
          <w:rFonts w:hint="eastAsia"/>
          <w:kern w:val="0"/>
        </w:rPr>
        <w:t>ことが、事業者の意欲を削いでいる</w:t>
      </w:r>
      <w:r w:rsidR="008B6FB7">
        <w:rPr>
          <w:rFonts w:hint="eastAsia"/>
          <w:kern w:val="0"/>
        </w:rPr>
        <w:t>ことから、</w:t>
      </w:r>
      <w:r w:rsidR="00990A5C">
        <w:rPr>
          <w:rFonts w:hint="eastAsia"/>
          <w:kern w:val="0"/>
        </w:rPr>
        <w:t>事業者の努力を正当に評価できるような段階的な評価の方法</w:t>
      </w:r>
      <w:r w:rsidR="008B6FB7">
        <w:rPr>
          <w:rFonts w:hint="eastAsia"/>
          <w:kern w:val="0"/>
        </w:rPr>
        <w:t>について</w:t>
      </w:r>
      <w:r w:rsidR="009576FC">
        <w:rPr>
          <w:rFonts w:hint="eastAsia"/>
        </w:rPr>
        <w:t>検討する必要がある。</w:t>
      </w:r>
    </w:p>
    <w:p w:rsidR="006F326C" w:rsidRDefault="006F326C" w:rsidP="00DA35E8">
      <w:pPr>
        <w:ind w:left="720" w:hangingChars="300" w:hanging="720"/>
        <w:rPr>
          <w:kern w:val="0"/>
        </w:rPr>
      </w:pP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 xml:space="preserve">（３）　</w:t>
      </w:r>
      <w:r w:rsidRPr="00BC780D">
        <w:rPr>
          <w:rFonts w:ascii="ＭＳ ゴシック" w:eastAsia="ＭＳ ゴシック" w:hAnsi="ＭＳ ゴシック" w:hint="eastAsia"/>
          <w:color w:val="000000"/>
        </w:rPr>
        <w:t>当事者目線の評価指標検討</w:t>
      </w:r>
    </w:p>
    <w:p w:rsidR="00077C9C" w:rsidRPr="0084035B" w:rsidRDefault="00077C9C" w:rsidP="00077C9C">
      <w:pPr>
        <w:tabs>
          <w:tab w:val="center" w:pos="4535"/>
        </w:tabs>
        <w:ind w:left="720" w:hangingChars="300" w:hanging="720"/>
      </w:pPr>
      <w:r>
        <w:rPr>
          <w:rFonts w:ascii="ＭＳ ゴシック" w:eastAsia="ＭＳ ゴシック" w:hAnsi="ＭＳ ゴシック" w:hint="eastAsia"/>
        </w:rPr>
        <w:t xml:space="preserve">　　　　</w:t>
      </w:r>
      <w:r>
        <w:rPr>
          <w:rFonts w:hint="eastAsia"/>
        </w:rPr>
        <w:t>県政全般についての基本調査である「県民ニーズ調査」の調査項目には、建築物や道路等のバリアフリー化の進捗度合に関する意識調査が含まれるが、条例自体の評価というわけではないことから、当事者である「障害者等」</w:t>
      </w:r>
      <w:r w:rsidRPr="0084035B">
        <w:rPr>
          <w:rFonts w:hint="eastAsia"/>
        </w:rPr>
        <w:t>の</w:t>
      </w:r>
      <w:r>
        <w:rPr>
          <w:rFonts w:hint="eastAsia"/>
        </w:rPr>
        <w:t>目線での条例の評価指標について</w:t>
      </w:r>
      <w:r w:rsidR="009576FC">
        <w:rPr>
          <w:rFonts w:hint="eastAsia"/>
        </w:rPr>
        <w:t>検討する必要がある。</w:t>
      </w:r>
    </w:p>
    <w:p w:rsidR="00077C9C" w:rsidRDefault="00077C9C" w:rsidP="00077C9C">
      <w:pPr>
        <w:ind w:leftChars="100" w:left="720" w:hangingChars="200" w:hanging="480"/>
      </w:pPr>
      <w:r>
        <w:rPr>
          <w:rFonts w:hint="eastAsia"/>
        </w:rPr>
        <w:t xml:space="preserve">　　　</w:t>
      </w: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（４）</w:t>
      </w:r>
      <w:r w:rsidRPr="00BC780D">
        <w:rPr>
          <w:rFonts w:ascii="ＭＳ ゴシック" w:eastAsia="ＭＳ ゴシック" w:hAnsi="ＭＳ ゴシック" w:hint="eastAsia"/>
        </w:rPr>
        <w:t xml:space="preserve">　</w:t>
      </w:r>
      <w:r w:rsidRPr="00BC780D">
        <w:rPr>
          <w:rFonts w:ascii="ＭＳ ゴシック" w:eastAsia="ＭＳ ゴシック" w:hAnsi="ＭＳ ゴシック" w:hint="eastAsia"/>
          <w:color w:val="000000"/>
        </w:rPr>
        <w:t>条例の到達目標検討</w:t>
      </w:r>
    </w:p>
    <w:p w:rsidR="00077C9C" w:rsidRDefault="00077C9C" w:rsidP="00077C9C">
      <w:pPr>
        <w:ind w:left="720" w:hangingChars="300" w:hanging="720"/>
      </w:pPr>
      <w:r>
        <w:rPr>
          <w:rFonts w:hint="eastAsia"/>
        </w:rPr>
        <w:t xml:space="preserve">　　　　条例は行政計画とは異なるため、条例自体には、条例が掲げる目標の達成に向けて目指すべき到達点や数値といった具体的な目標に関する規定は存在しないことから、条例の着実な推進に向けた具体的な到達目標について</w:t>
      </w:r>
      <w:r w:rsidR="009576FC">
        <w:rPr>
          <w:rFonts w:hint="eastAsia"/>
        </w:rPr>
        <w:t>検討する必要がある。</w:t>
      </w:r>
    </w:p>
    <w:p w:rsidR="00077C9C" w:rsidRPr="00077C9C" w:rsidRDefault="00077C9C" w:rsidP="00DA35E8">
      <w:pPr>
        <w:ind w:left="720" w:hangingChars="300" w:hanging="720"/>
        <w:rPr>
          <w:kern w:val="0"/>
        </w:rPr>
      </w:pPr>
    </w:p>
    <w:sectPr w:rsidR="00077C9C" w:rsidRPr="00077C9C" w:rsidSect="0023540F">
      <w:pgSz w:w="11906" w:h="16838" w:code="9"/>
      <w:pgMar w:top="1418" w:right="1418" w:bottom="1418" w:left="1418" w:header="851" w:footer="992" w:gutter="0"/>
      <w:cols w:space="425"/>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B1" w:rsidRDefault="00F831B1" w:rsidP="00ED4A78">
      <w:r>
        <w:separator/>
      </w:r>
    </w:p>
  </w:endnote>
  <w:endnote w:type="continuationSeparator" w:id="0">
    <w:p w:rsidR="00F831B1" w:rsidRDefault="00F831B1" w:rsidP="00ED4A7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B1" w:rsidRDefault="00F831B1" w:rsidP="00ED4A78">
      <w:r>
        <w:separator/>
      </w:r>
    </w:p>
  </w:footnote>
  <w:footnote w:type="continuationSeparator" w:id="0">
    <w:p w:rsidR="00F831B1" w:rsidRDefault="00F831B1" w:rsidP="00ED4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59"/>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11350"/>
    <w:rsid w:val="00077C9C"/>
    <w:rsid w:val="000D0985"/>
    <w:rsid w:val="000E504D"/>
    <w:rsid w:val="000E57A3"/>
    <w:rsid w:val="001564BF"/>
    <w:rsid w:val="001A4F4B"/>
    <w:rsid w:val="00202FC1"/>
    <w:rsid w:val="0023540F"/>
    <w:rsid w:val="002E2D3B"/>
    <w:rsid w:val="0032711A"/>
    <w:rsid w:val="0037404C"/>
    <w:rsid w:val="003D7C52"/>
    <w:rsid w:val="00403B78"/>
    <w:rsid w:val="00455135"/>
    <w:rsid w:val="0047337A"/>
    <w:rsid w:val="00530BE7"/>
    <w:rsid w:val="005317BF"/>
    <w:rsid w:val="006272B2"/>
    <w:rsid w:val="0069695F"/>
    <w:rsid w:val="006A2E58"/>
    <w:rsid w:val="006B039F"/>
    <w:rsid w:val="006E3C2C"/>
    <w:rsid w:val="006F326C"/>
    <w:rsid w:val="006F60E8"/>
    <w:rsid w:val="007234DB"/>
    <w:rsid w:val="007322A4"/>
    <w:rsid w:val="00762E75"/>
    <w:rsid w:val="0078300A"/>
    <w:rsid w:val="007B02FC"/>
    <w:rsid w:val="00836D94"/>
    <w:rsid w:val="008B6FB7"/>
    <w:rsid w:val="008C591D"/>
    <w:rsid w:val="008E2D29"/>
    <w:rsid w:val="009576FC"/>
    <w:rsid w:val="00990A5C"/>
    <w:rsid w:val="00A348BE"/>
    <w:rsid w:val="00A36A86"/>
    <w:rsid w:val="00A5026E"/>
    <w:rsid w:val="00AD4B90"/>
    <w:rsid w:val="00AF1C9D"/>
    <w:rsid w:val="00B1164B"/>
    <w:rsid w:val="00B879E6"/>
    <w:rsid w:val="00BD6149"/>
    <w:rsid w:val="00C948AE"/>
    <w:rsid w:val="00DA35E8"/>
    <w:rsid w:val="00DB0DF6"/>
    <w:rsid w:val="00DE3ECE"/>
    <w:rsid w:val="00E50A2A"/>
    <w:rsid w:val="00EC1AB4"/>
    <w:rsid w:val="00ED4A78"/>
    <w:rsid w:val="00F6077A"/>
    <w:rsid w:val="00F831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4A78"/>
    <w:pPr>
      <w:tabs>
        <w:tab w:val="center" w:pos="4252"/>
        <w:tab w:val="right" w:pos="8504"/>
      </w:tabs>
      <w:snapToGrid w:val="0"/>
    </w:pPr>
  </w:style>
  <w:style w:type="character" w:customStyle="1" w:styleId="a4">
    <w:name w:val="ヘッダー (文字)"/>
    <w:basedOn w:val="a0"/>
    <w:link w:val="a3"/>
    <w:uiPriority w:val="99"/>
    <w:semiHidden/>
    <w:rsid w:val="00ED4A78"/>
  </w:style>
  <w:style w:type="paragraph" w:styleId="a5">
    <w:name w:val="footer"/>
    <w:basedOn w:val="a"/>
    <w:link w:val="a6"/>
    <w:uiPriority w:val="99"/>
    <w:semiHidden/>
    <w:unhideWhenUsed/>
    <w:rsid w:val="00ED4A78"/>
    <w:pPr>
      <w:tabs>
        <w:tab w:val="center" w:pos="4252"/>
        <w:tab w:val="right" w:pos="8504"/>
      </w:tabs>
      <w:snapToGrid w:val="0"/>
    </w:pPr>
  </w:style>
  <w:style w:type="character" w:customStyle="1" w:styleId="a6">
    <w:name w:val="フッター (文字)"/>
    <w:basedOn w:val="a0"/>
    <w:link w:val="a5"/>
    <w:uiPriority w:val="99"/>
    <w:semiHidden/>
    <w:rsid w:val="00ED4A78"/>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C3D93-4E98-4B88-8640-A416B57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2015-03-26T07:34:00Z</cp:lastPrinted>
  <dcterms:created xsi:type="dcterms:W3CDTF">2015-03-20T01:52:00Z</dcterms:created>
  <dcterms:modified xsi:type="dcterms:W3CDTF">2015-07-02T05:24:00Z</dcterms:modified>
</cp:coreProperties>
</file>